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DAB55D" w14:textId="77777777" w:rsidR="00902048" w:rsidRPr="00B80487" w:rsidRDefault="00902048" w:rsidP="00D917B0">
      <w:pPr>
        <w:jc w:val="center"/>
        <w:rPr>
          <w:rFonts w:ascii="Times New Roman" w:hAnsi="Times New Roman" w:cs="Times New Roman"/>
          <w:b/>
        </w:rPr>
      </w:pPr>
    </w:p>
    <w:p w14:paraId="17D31381" w14:textId="77777777" w:rsidR="00255940" w:rsidRPr="000D4FDF" w:rsidRDefault="00255940" w:rsidP="00255940">
      <w:pPr>
        <w:jc w:val="center"/>
        <w:rPr>
          <w:b/>
        </w:rPr>
      </w:pPr>
      <w:r w:rsidRPr="000D4FDF">
        <w:rPr>
          <w:b/>
        </w:rPr>
        <w:t>Julien Damon</w:t>
      </w:r>
    </w:p>
    <w:p w14:paraId="6CA25A4D" w14:textId="77777777" w:rsidR="00255940" w:rsidRPr="000D4FDF" w:rsidRDefault="00202A14" w:rsidP="00255940">
      <w:pPr>
        <w:jc w:val="center"/>
        <w:rPr>
          <w:sz w:val="20"/>
        </w:rPr>
      </w:pPr>
      <w:hyperlink r:id="rId9" w:history="1">
        <w:r w:rsidR="00255940" w:rsidRPr="000D4FDF">
          <w:rPr>
            <w:rStyle w:val="Lienhypertexte"/>
            <w:sz w:val="20"/>
          </w:rPr>
          <w:t>www.eclairs.fr</w:t>
        </w:r>
      </w:hyperlink>
    </w:p>
    <w:p w14:paraId="3BFF9EF8" w14:textId="77777777" w:rsidR="00431C98" w:rsidRDefault="00431C98" w:rsidP="00D917B0">
      <w:pPr>
        <w:jc w:val="center"/>
        <w:rPr>
          <w:rFonts w:ascii="Times New Roman" w:hAnsi="Times New Roman" w:cs="Times New Roman"/>
          <w:b/>
          <w:sz w:val="36"/>
        </w:rPr>
      </w:pPr>
    </w:p>
    <w:p w14:paraId="4E5A128F" w14:textId="72CB02F9" w:rsidR="00255940" w:rsidRPr="00255940" w:rsidRDefault="00B67B39" w:rsidP="00431C9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32"/>
        </w:rPr>
      </w:pPr>
      <w:r>
        <w:rPr>
          <w:rFonts w:ascii="Times New Roman" w:hAnsi="Times New Roman" w:cs="Times New Roman"/>
          <w:b/>
          <w:sz w:val="32"/>
        </w:rPr>
        <w:t>Les SDF comme concentré de questions et politiques sociales</w:t>
      </w:r>
    </w:p>
    <w:p w14:paraId="7231C910" w14:textId="77777777" w:rsidR="0053246E" w:rsidRDefault="0053246E" w:rsidP="00D917B0">
      <w:pPr>
        <w:jc w:val="center"/>
        <w:rPr>
          <w:rFonts w:ascii="Times New Roman" w:hAnsi="Times New Roman" w:cs="Times New Roman"/>
          <w:b/>
          <w:sz w:val="36"/>
        </w:rPr>
      </w:pPr>
    </w:p>
    <w:p w14:paraId="72B6DB3E" w14:textId="77777777" w:rsidR="00255940" w:rsidRPr="00255940" w:rsidRDefault="00255940" w:rsidP="00255940">
      <w:pPr>
        <w:rPr>
          <w:lang w:val="en-GB"/>
        </w:rPr>
      </w:pPr>
    </w:p>
    <w:p w14:paraId="0EDA0103" w14:textId="77777777" w:rsidR="003C586A" w:rsidRDefault="003C586A">
      <w:pPr>
        <w:pStyle w:val="TM2"/>
        <w:tabs>
          <w:tab w:val="right" w:leader="dot" w:pos="9056"/>
        </w:tabs>
        <w:rPr>
          <w:b w:val="0"/>
          <w:noProof/>
          <w:sz w:val="24"/>
          <w:szCs w:val="24"/>
        </w:rPr>
      </w:pPr>
      <w:r>
        <w:rPr>
          <w:rFonts w:ascii="Times New Roman" w:hAnsi="Times New Roman" w:cs="Times New Roman"/>
          <w:b w:val="0"/>
          <w:sz w:val="40"/>
        </w:rPr>
        <w:fldChar w:fldCharType="begin"/>
      </w:r>
      <w:r>
        <w:rPr>
          <w:rFonts w:ascii="Times New Roman" w:hAnsi="Times New Roman" w:cs="Times New Roman"/>
          <w:b w:val="0"/>
          <w:sz w:val="40"/>
        </w:rPr>
        <w:instrText xml:space="preserve"> TOC \o "1-3" </w:instrText>
      </w:r>
      <w:r>
        <w:rPr>
          <w:rFonts w:ascii="Times New Roman" w:hAnsi="Times New Roman" w:cs="Times New Roman"/>
          <w:b w:val="0"/>
          <w:sz w:val="40"/>
        </w:rPr>
        <w:fldChar w:fldCharType="separate"/>
      </w:r>
      <w:r>
        <w:rPr>
          <w:noProof/>
        </w:rPr>
        <w:t>Plan du propos</w:t>
      </w:r>
      <w:r>
        <w:rPr>
          <w:noProof/>
        </w:rPr>
        <w:tab/>
      </w:r>
      <w:r>
        <w:rPr>
          <w:noProof/>
        </w:rPr>
        <w:fldChar w:fldCharType="begin"/>
      </w:r>
      <w:r>
        <w:rPr>
          <w:noProof/>
        </w:rPr>
        <w:instrText xml:space="preserve"> PAGEREF _Toc269846249 \h </w:instrText>
      </w:r>
      <w:r>
        <w:rPr>
          <w:noProof/>
        </w:rPr>
      </w:r>
      <w:r>
        <w:rPr>
          <w:noProof/>
        </w:rPr>
        <w:fldChar w:fldCharType="separate"/>
      </w:r>
      <w:r>
        <w:rPr>
          <w:noProof/>
        </w:rPr>
        <w:t>2</w:t>
      </w:r>
      <w:r>
        <w:rPr>
          <w:noProof/>
        </w:rPr>
        <w:fldChar w:fldCharType="end"/>
      </w:r>
    </w:p>
    <w:p w14:paraId="5C659AF1" w14:textId="77777777" w:rsidR="003C586A" w:rsidRDefault="003C586A">
      <w:pPr>
        <w:pStyle w:val="TM2"/>
        <w:tabs>
          <w:tab w:val="right" w:leader="dot" w:pos="9056"/>
        </w:tabs>
        <w:rPr>
          <w:b w:val="0"/>
          <w:noProof/>
          <w:sz w:val="24"/>
          <w:szCs w:val="24"/>
        </w:rPr>
      </w:pPr>
      <w:r>
        <w:rPr>
          <w:noProof/>
        </w:rPr>
        <w:t>Opinions : craintes françaises et diversité européenne</w:t>
      </w:r>
      <w:r>
        <w:rPr>
          <w:noProof/>
        </w:rPr>
        <w:tab/>
      </w:r>
      <w:r>
        <w:rPr>
          <w:noProof/>
        </w:rPr>
        <w:fldChar w:fldCharType="begin"/>
      </w:r>
      <w:r>
        <w:rPr>
          <w:noProof/>
        </w:rPr>
        <w:instrText xml:space="preserve"> PAGEREF _Toc269846250 \h </w:instrText>
      </w:r>
      <w:r>
        <w:rPr>
          <w:noProof/>
        </w:rPr>
      </w:r>
      <w:r>
        <w:rPr>
          <w:noProof/>
        </w:rPr>
        <w:fldChar w:fldCharType="separate"/>
      </w:r>
      <w:r>
        <w:rPr>
          <w:noProof/>
        </w:rPr>
        <w:t>3</w:t>
      </w:r>
      <w:r>
        <w:rPr>
          <w:noProof/>
        </w:rPr>
        <w:fldChar w:fldCharType="end"/>
      </w:r>
    </w:p>
    <w:p w14:paraId="40F5FB00" w14:textId="77777777" w:rsidR="003C586A" w:rsidRDefault="003C586A">
      <w:pPr>
        <w:pStyle w:val="TM2"/>
        <w:tabs>
          <w:tab w:val="right" w:leader="dot" w:pos="9056"/>
        </w:tabs>
        <w:rPr>
          <w:b w:val="0"/>
          <w:noProof/>
          <w:sz w:val="24"/>
          <w:szCs w:val="24"/>
        </w:rPr>
      </w:pPr>
      <w:r>
        <w:rPr>
          <w:noProof/>
        </w:rPr>
        <w:t>Du pénal au social</w:t>
      </w:r>
      <w:r>
        <w:rPr>
          <w:noProof/>
        </w:rPr>
        <w:tab/>
      </w:r>
      <w:r>
        <w:rPr>
          <w:noProof/>
        </w:rPr>
        <w:fldChar w:fldCharType="begin"/>
      </w:r>
      <w:r>
        <w:rPr>
          <w:noProof/>
        </w:rPr>
        <w:instrText xml:space="preserve"> PAGEREF _Toc269846251 \h </w:instrText>
      </w:r>
      <w:r>
        <w:rPr>
          <w:noProof/>
        </w:rPr>
      </w:r>
      <w:r>
        <w:rPr>
          <w:noProof/>
        </w:rPr>
        <w:fldChar w:fldCharType="separate"/>
      </w:r>
      <w:r>
        <w:rPr>
          <w:noProof/>
        </w:rPr>
        <w:t>6</w:t>
      </w:r>
      <w:r>
        <w:rPr>
          <w:noProof/>
        </w:rPr>
        <w:fldChar w:fldCharType="end"/>
      </w:r>
    </w:p>
    <w:p w14:paraId="37AAF49C" w14:textId="77777777" w:rsidR="003C586A" w:rsidRDefault="003C586A">
      <w:pPr>
        <w:pStyle w:val="TM2"/>
        <w:tabs>
          <w:tab w:val="right" w:leader="dot" w:pos="9056"/>
        </w:tabs>
        <w:rPr>
          <w:b w:val="0"/>
          <w:noProof/>
          <w:sz w:val="24"/>
          <w:szCs w:val="24"/>
        </w:rPr>
      </w:pPr>
      <w:r w:rsidRPr="008B33BE">
        <w:rPr>
          <w:rFonts w:eastAsiaTheme="majorEastAsia"/>
          <w:noProof/>
        </w:rPr>
        <w:t>De qui parle-t-on ?</w:t>
      </w:r>
      <w:r>
        <w:rPr>
          <w:noProof/>
        </w:rPr>
        <w:tab/>
      </w:r>
      <w:r>
        <w:rPr>
          <w:noProof/>
        </w:rPr>
        <w:fldChar w:fldCharType="begin"/>
      </w:r>
      <w:r>
        <w:rPr>
          <w:noProof/>
        </w:rPr>
        <w:instrText xml:space="preserve"> PAGEREF _Toc269846252 \h </w:instrText>
      </w:r>
      <w:r>
        <w:rPr>
          <w:noProof/>
        </w:rPr>
      </w:r>
      <w:r>
        <w:rPr>
          <w:noProof/>
        </w:rPr>
        <w:fldChar w:fldCharType="separate"/>
      </w:r>
      <w:r>
        <w:rPr>
          <w:noProof/>
        </w:rPr>
        <w:t>7</w:t>
      </w:r>
      <w:r>
        <w:rPr>
          <w:noProof/>
        </w:rPr>
        <w:fldChar w:fldCharType="end"/>
      </w:r>
    </w:p>
    <w:p w14:paraId="3476D4B2" w14:textId="77777777" w:rsidR="003C586A" w:rsidRDefault="003C586A">
      <w:pPr>
        <w:pStyle w:val="TM2"/>
        <w:tabs>
          <w:tab w:val="right" w:leader="dot" w:pos="9056"/>
        </w:tabs>
        <w:rPr>
          <w:b w:val="0"/>
          <w:noProof/>
          <w:sz w:val="24"/>
          <w:szCs w:val="24"/>
        </w:rPr>
      </w:pPr>
      <w:r>
        <w:rPr>
          <w:noProof/>
        </w:rPr>
        <w:t>Le défi des décomptes</w:t>
      </w:r>
      <w:r>
        <w:rPr>
          <w:noProof/>
        </w:rPr>
        <w:tab/>
      </w:r>
      <w:r>
        <w:rPr>
          <w:noProof/>
        </w:rPr>
        <w:fldChar w:fldCharType="begin"/>
      </w:r>
      <w:r>
        <w:rPr>
          <w:noProof/>
        </w:rPr>
        <w:instrText xml:space="preserve"> PAGEREF _Toc269846253 \h </w:instrText>
      </w:r>
      <w:r>
        <w:rPr>
          <w:noProof/>
        </w:rPr>
      </w:r>
      <w:r>
        <w:rPr>
          <w:noProof/>
        </w:rPr>
        <w:fldChar w:fldCharType="separate"/>
      </w:r>
      <w:r>
        <w:rPr>
          <w:noProof/>
        </w:rPr>
        <w:t>9</w:t>
      </w:r>
      <w:r>
        <w:rPr>
          <w:noProof/>
        </w:rPr>
        <w:fldChar w:fldCharType="end"/>
      </w:r>
    </w:p>
    <w:p w14:paraId="4DCA8A34" w14:textId="77777777" w:rsidR="003C586A" w:rsidRDefault="003C586A">
      <w:pPr>
        <w:pStyle w:val="TM2"/>
        <w:tabs>
          <w:tab w:val="right" w:leader="dot" w:pos="9056"/>
        </w:tabs>
        <w:rPr>
          <w:b w:val="0"/>
          <w:noProof/>
          <w:sz w:val="24"/>
          <w:szCs w:val="24"/>
        </w:rPr>
      </w:pPr>
      <w:r>
        <w:rPr>
          <w:noProof/>
        </w:rPr>
        <w:t>Les politiques publiques</w:t>
      </w:r>
      <w:r>
        <w:rPr>
          <w:noProof/>
        </w:rPr>
        <w:tab/>
      </w:r>
      <w:r>
        <w:rPr>
          <w:noProof/>
        </w:rPr>
        <w:fldChar w:fldCharType="begin"/>
      </w:r>
      <w:r>
        <w:rPr>
          <w:noProof/>
        </w:rPr>
        <w:instrText xml:space="preserve"> PAGEREF _Toc269846254 \h </w:instrText>
      </w:r>
      <w:r>
        <w:rPr>
          <w:noProof/>
        </w:rPr>
      </w:r>
      <w:r>
        <w:rPr>
          <w:noProof/>
        </w:rPr>
        <w:fldChar w:fldCharType="separate"/>
      </w:r>
      <w:r>
        <w:rPr>
          <w:noProof/>
        </w:rPr>
        <w:t>11</w:t>
      </w:r>
      <w:r>
        <w:rPr>
          <w:noProof/>
        </w:rPr>
        <w:fldChar w:fldCharType="end"/>
      </w:r>
    </w:p>
    <w:p w14:paraId="6E24C90D" w14:textId="77777777" w:rsidR="003C586A" w:rsidRDefault="003C586A">
      <w:pPr>
        <w:pStyle w:val="TM2"/>
        <w:tabs>
          <w:tab w:val="right" w:leader="dot" w:pos="9056"/>
        </w:tabs>
        <w:rPr>
          <w:b w:val="0"/>
          <w:noProof/>
          <w:sz w:val="24"/>
          <w:szCs w:val="24"/>
        </w:rPr>
      </w:pPr>
      <w:r>
        <w:rPr>
          <w:noProof/>
        </w:rPr>
        <w:t>La bureaucratisation</w:t>
      </w:r>
      <w:r>
        <w:rPr>
          <w:noProof/>
        </w:rPr>
        <w:tab/>
      </w:r>
      <w:r>
        <w:rPr>
          <w:noProof/>
        </w:rPr>
        <w:fldChar w:fldCharType="begin"/>
      </w:r>
      <w:r>
        <w:rPr>
          <w:noProof/>
        </w:rPr>
        <w:instrText xml:space="preserve"> PAGEREF _Toc269846255 \h </w:instrText>
      </w:r>
      <w:r>
        <w:rPr>
          <w:noProof/>
        </w:rPr>
      </w:r>
      <w:r>
        <w:rPr>
          <w:noProof/>
        </w:rPr>
        <w:fldChar w:fldCharType="separate"/>
      </w:r>
      <w:r>
        <w:rPr>
          <w:noProof/>
        </w:rPr>
        <w:t>12</w:t>
      </w:r>
      <w:r>
        <w:rPr>
          <w:noProof/>
        </w:rPr>
        <w:fldChar w:fldCharType="end"/>
      </w:r>
    </w:p>
    <w:p w14:paraId="1441E199" w14:textId="77777777" w:rsidR="003C586A" w:rsidRDefault="003C586A">
      <w:pPr>
        <w:pStyle w:val="TM2"/>
        <w:tabs>
          <w:tab w:val="right" w:leader="dot" w:pos="9056"/>
        </w:tabs>
        <w:rPr>
          <w:b w:val="0"/>
          <w:noProof/>
          <w:sz w:val="24"/>
          <w:szCs w:val="24"/>
        </w:rPr>
      </w:pPr>
      <w:r>
        <w:rPr>
          <w:noProof/>
        </w:rPr>
        <w:t>Dix gros sujets de débat</w:t>
      </w:r>
      <w:r>
        <w:rPr>
          <w:noProof/>
        </w:rPr>
        <w:tab/>
      </w:r>
      <w:r>
        <w:rPr>
          <w:noProof/>
        </w:rPr>
        <w:fldChar w:fldCharType="begin"/>
      </w:r>
      <w:r>
        <w:rPr>
          <w:noProof/>
        </w:rPr>
        <w:instrText xml:space="preserve"> PAGEREF _Toc269846256 \h </w:instrText>
      </w:r>
      <w:r>
        <w:rPr>
          <w:noProof/>
        </w:rPr>
      </w:r>
      <w:r>
        <w:rPr>
          <w:noProof/>
        </w:rPr>
        <w:fldChar w:fldCharType="separate"/>
      </w:r>
      <w:r>
        <w:rPr>
          <w:noProof/>
        </w:rPr>
        <w:t>12</w:t>
      </w:r>
      <w:r>
        <w:rPr>
          <w:noProof/>
        </w:rPr>
        <w:fldChar w:fldCharType="end"/>
      </w:r>
    </w:p>
    <w:p w14:paraId="177F279E" w14:textId="1F912553" w:rsidR="001C3A80" w:rsidRDefault="003C586A" w:rsidP="00D917B0">
      <w:pPr>
        <w:jc w:val="center"/>
        <w:rPr>
          <w:rFonts w:ascii="Times New Roman" w:hAnsi="Times New Roman" w:cs="Times New Roman"/>
          <w:b/>
          <w:sz w:val="36"/>
        </w:rPr>
      </w:pPr>
      <w:r>
        <w:rPr>
          <w:rFonts w:ascii="Times New Roman" w:hAnsi="Times New Roman" w:cs="Times New Roman"/>
          <w:b/>
          <w:sz w:val="40"/>
          <w:szCs w:val="22"/>
        </w:rPr>
        <w:fldChar w:fldCharType="end"/>
      </w:r>
    </w:p>
    <w:p w14:paraId="07DB62E3" w14:textId="36A19EE9" w:rsidR="00255940" w:rsidRDefault="00573073" w:rsidP="00255940">
      <w:pPr>
        <w:jc w:val="center"/>
        <w:rPr>
          <w:rFonts w:cs="Times New Roman"/>
          <w:sz w:val="32"/>
        </w:rPr>
      </w:pPr>
      <w:bookmarkStart w:id="0" w:name="_Toc224876902"/>
      <w:r w:rsidRPr="00573073">
        <w:rPr>
          <w:noProof/>
          <w:lang w:eastAsia="fr-FR"/>
        </w:rPr>
        <w:drawing>
          <wp:inline distT="0" distB="0" distL="0" distR="0" wp14:anchorId="3E57C3C4" wp14:editId="43F86851">
            <wp:extent cx="5756910" cy="3144712"/>
            <wp:effectExtent l="0" t="0" r="8890" b="508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56910" cy="3144712"/>
                    </a:xfrm>
                    <a:prstGeom prst="rect">
                      <a:avLst/>
                    </a:prstGeom>
                    <a:noFill/>
                    <a:ln>
                      <a:noFill/>
                    </a:ln>
                  </pic:spPr>
                </pic:pic>
              </a:graphicData>
            </a:graphic>
          </wp:inline>
        </w:drawing>
      </w:r>
      <w:r w:rsidR="00255940">
        <w:rPr>
          <w:rFonts w:cs="Times New Roman"/>
          <w:sz w:val="32"/>
        </w:rPr>
        <w:br w:type="page"/>
      </w:r>
    </w:p>
    <w:p w14:paraId="49DBFA07" w14:textId="7201002C" w:rsidR="00255940" w:rsidRPr="00700B4E" w:rsidRDefault="00B67B39" w:rsidP="00255940">
      <w:pPr>
        <w:pStyle w:val="TITRE1BIEN"/>
        <w:rPr>
          <w:sz w:val="32"/>
        </w:rPr>
      </w:pPr>
      <w:bookmarkStart w:id="1" w:name="_Toc269846249"/>
      <w:r>
        <w:rPr>
          <w:sz w:val="32"/>
        </w:rPr>
        <w:lastRenderedPageBreak/>
        <w:t>Plan du propos</w:t>
      </w:r>
      <w:bookmarkEnd w:id="1"/>
    </w:p>
    <w:p w14:paraId="29FDD2BA" w14:textId="77777777" w:rsidR="00255940" w:rsidRDefault="00255940" w:rsidP="00255940"/>
    <w:p w14:paraId="2F4F36F6"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Un condensé de problèmes sociaux</w:t>
      </w:r>
    </w:p>
    <w:p w14:paraId="0CFC59B5"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Un concentré de politiques publiques</w:t>
      </w:r>
    </w:p>
    <w:p w14:paraId="480A1C2B" w14:textId="77777777" w:rsidR="00B67B39" w:rsidRPr="00B67B39" w:rsidRDefault="00B67B39" w:rsidP="00B67B39">
      <w:pPr>
        <w:jc w:val="both"/>
        <w:rPr>
          <w:rFonts w:ascii="Times New Roman" w:eastAsia="Cambria" w:hAnsi="Times New Roman" w:cs="Times New Roman"/>
        </w:rPr>
      </w:pPr>
    </w:p>
    <w:p w14:paraId="46E765ED" w14:textId="7F812A94" w:rsidR="00B67B39" w:rsidRPr="00B67B39" w:rsidRDefault="00B67B39" w:rsidP="00B67B39">
      <w:pPr>
        <w:jc w:val="both"/>
        <w:rPr>
          <w:rFonts w:ascii="Times New Roman" w:eastAsia="Cambria" w:hAnsi="Times New Roman" w:cs="Times New Roman"/>
          <w:b/>
        </w:rPr>
      </w:pPr>
      <w:r w:rsidRPr="00B67B39">
        <w:rPr>
          <w:rFonts w:ascii="Times New Roman" w:eastAsia="Cambria" w:hAnsi="Times New Roman" w:cs="Times New Roman"/>
          <w:b/>
        </w:rPr>
        <w:t>I. De qui et de quoi parle-t-on ?</w:t>
      </w:r>
    </w:p>
    <w:p w14:paraId="363E19CD" w14:textId="77777777" w:rsidR="00B67B39" w:rsidRPr="00B67B39" w:rsidRDefault="00B67B39" w:rsidP="00B67B39">
      <w:pPr>
        <w:jc w:val="both"/>
        <w:rPr>
          <w:rFonts w:ascii="Times New Roman" w:eastAsia="Cambria" w:hAnsi="Times New Roman" w:cs="Times New Roman"/>
        </w:rPr>
      </w:pPr>
    </w:p>
    <w:p w14:paraId="0770AC1C" w14:textId="77777777" w:rsidR="00B67B39" w:rsidRPr="00B67B39" w:rsidRDefault="00B67B39" w:rsidP="00B67B39">
      <w:pPr>
        <w:jc w:val="both"/>
        <w:rPr>
          <w:rFonts w:ascii="Times New Roman" w:eastAsia="Cambria" w:hAnsi="Times New Roman" w:cs="Times New Roman"/>
          <w:b/>
          <w:i/>
        </w:rPr>
      </w:pPr>
      <w:r w:rsidRPr="00B67B39">
        <w:rPr>
          <w:rFonts w:ascii="Times New Roman" w:eastAsia="Cambria" w:hAnsi="Times New Roman" w:cs="Times New Roman"/>
          <w:b/>
          <w:i/>
        </w:rPr>
        <w:t>I.1 Un problème qui n’est pas nouveau…</w:t>
      </w:r>
    </w:p>
    <w:p w14:paraId="08877176"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Dénommer</w:t>
      </w:r>
    </w:p>
    <w:p w14:paraId="4F1873B0"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Compter</w:t>
      </w:r>
    </w:p>
    <w:p w14:paraId="781B0D23"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Distinguer bons et mauvais pauvres</w:t>
      </w:r>
    </w:p>
    <w:p w14:paraId="40D3EEA0"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Oscillations pitié et potence</w:t>
      </w:r>
    </w:p>
    <w:p w14:paraId="1D765428"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Coopération instable des collectivités locales</w:t>
      </w:r>
    </w:p>
    <w:p w14:paraId="5F8748D0" w14:textId="77777777" w:rsidR="00B67B39" w:rsidRPr="00B67B39" w:rsidRDefault="00B67B39" w:rsidP="00B67B39">
      <w:pPr>
        <w:jc w:val="both"/>
        <w:rPr>
          <w:rFonts w:ascii="Times New Roman" w:eastAsia="Cambria" w:hAnsi="Times New Roman" w:cs="Times New Roman"/>
        </w:rPr>
      </w:pPr>
    </w:p>
    <w:p w14:paraId="64013BF0" w14:textId="77777777" w:rsidR="00B67B39" w:rsidRPr="00B67B39" w:rsidRDefault="00B67B39" w:rsidP="00B67B39">
      <w:pPr>
        <w:jc w:val="both"/>
        <w:rPr>
          <w:rFonts w:ascii="Times New Roman" w:eastAsia="Cambria" w:hAnsi="Times New Roman" w:cs="Times New Roman"/>
          <w:b/>
          <w:i/>
        </w:rPr>
      </w:pPr>
      <w:r w:rsidRPr="00B67B39">
        <w:rPr>
          <w:rFonts w:ascii="Times New Roman" w:eastAsia="Cambria" w:hAnsi="Times New Roman" w:cs="Times New Roman"/>
          <w:b/>
          <w:i/>
        </w:rPr>
        <w:t>I.2 … mais aux traits très contemporains</w:t>
      </w:r>
    </w:p>
    <w:p w14:paraId="1E654101"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ab/>
        <w:t>Une crainte très prononcée</w:t>
      </w:r>
    </w:p>
    <w:p w14:paraId="2D7B7C89" w14:textId="4B36FD6B" w:rsidR="00B67B39" w:rsidRPr="00B67B39" w:rsidRDefault="00B67B39" w:rsidP="00B67B39">
      <w:pPr>
        <w:ind w:firstLine="708"/>
        <w:jc w:val="both"/>
        <w:rPr>
          <w:rFonts w:ascii="Times New Roman" w:eastAsia="Cambria" w:hAnsi="Times New Roman" w:cs="Times New Roman"/>
        </w:rPr>
      </w:pPr>
      <w:r w:rsidRPr="00B67B39">
        <w:rPr>
          <w:rFonts w:ascii="Times New Roman" w:eastAsia="Cambria" w:hAnsi="Times New Roman" w:cs="Times New Roman"/>
        </w:rPr>
        <w:t>Pourquoi en parle tant maintenant</w:t>
      </w:r>
      <w:r>
        <w:rPr>
          <w:rFonts w:ascii="Times New Roman" w:eastAsia="Cambria" w:hAnsi="Times New Roman" w:cs="Times New Roman"/>
        </w:rPr>
        <w:t> ?</w:t>
      </w:r>
    </w:p>
    <w:p w14:paraId="304B5549"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ab/>
        <w:t>Du vagabond au SDF en passant par clochard</w:t>
      </w:r>
    </w:p>
    <w:p w14:paraId="5513A523"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ab/>
        <w:t>SDF synonyme de beaucoup de choses</w:t>
      </w:r>
    </w:p>
    <w:p w14:paraId="6DB324D3" w14:textId="1555D943" w:rsidR="00B67B39" w:rsidRPr="00B67B39" w:rsidRDefault="00B67B39" w:rsidP="00B67B39">
      <w:pPr>
        <w:jc w:val="both"/>
        <w:rPr>
          <w:rFonts w:ascii="Times New Roman" w:eastAsia="Cambria" w:hAnsi="Times New Roman" w:cs="Times New Roman"/>
        </w:rPr>
      </w:pPr>
      <w:r>
        <w:rPr>
          <w:rFonts w:ascii="Times New Roman" w:eastAsia="Cambria" w:hAnsi="Times New Roman" w:cs="Times New Roman"/>
        </w:rPr>
        <w:tab/>
        <w:t xml:space="preserve">Incertitudes statistiques </w:t>
      </w:r>
    </w:p>
    <w:p w14:paraId="0C98AF30" w14:textId="77777777" w:rsidR="00B67B39" w:rsidRPr="00B67B39" w:rsidRDefault="00B67B39" w:rsidP="00B67B39">
      <w:pPr>
        <w:jc w:val="both"/>
        <w:rPr>
          <w:rFonts w:ascii="Times New Roman" w:eastAsia="Cambria" w:hAnsi="Times New Roman" w:cs="Times New Roman"/>
        </w:rPr>
      </w:pPr>
    </w:p>
    <w:p w14:paraId="588573B7" w14:textId="7C688A4B" w:rsidR="00B67B39" w:rsidRPr="00B67B39" w:rsidRDefault="00B67B39" w:rsidP="00B67B39">
      <w:pPr>
        <w:jc w:val="both"/>
        <w:rPr>
          <w:rFonts w:ascii="Times New Roman" w:eastAsia="Cambria" w:hAnsi="Times New Roman" w:cs="Times New Roman"/>
          <w:b/>
        </w:rPr>
      </w:pPr>
      <w:r w:rsidRPr="00B67B39">
        <w:rPr>
          <w:rFonts w:ascii="Times New Roman" w:eastAsia="Cambria" w:hAnsi="Times New Roman" w:cs="Times New Roman"/>
          <w:b/>
        </w:rPr>
        <w:t>II. Que fait-on et que peut-on dire ce que l’on fait ?</w:t>
      </w:r>
    </w:p>
    <w:p w14:paraId="12B524ED" w14:textId="77777777" w:rsidR="00B67B39" w:rsidRPr="00B67B39" w:rsidRDefault="00B67B39" w:rsidP="00B67B39">
      <w:pPr>
        <w:jc w:val="both"/>
        <w:rPr>
          <w:rFonts w:ascii="Times New Roman" w:eastAsia="Cambria" w:hAnsi="Times New Roman" w:cs="Times New Roman"/>
        </w:rPr>
      </w:pPr>
    </w:p>
    <w:p w14:paraId="4A564BB9" w14:textId="77777777" w:rsidR="00B67B39" w:rsidRPr="00B67B39" w:rsidRDefault="00B67B39" w:rsidP="00B67B39">
      <w:pPr>
        <w:jc w:val="both"/>
        <w:rPr>
          <w:rFonts w:ascii="Times New Roman" w:eastAsia="Cambria" w:hAnsi="Times New Roman" w:cs="Times New Roman"/>
          <w:b/>
          <w:i/>
        </w:rPr>
      </w:pPr>
      <w:r w:rsidRPr="00B67B39">
        <w:rPr>
          <w:rFonts w:ascii="Times New Roman" w:eastAsia="Cambria" w:hAnsi="Times New Roman" w:cs="Times New Roman"/>
          <w:b/>
          <w:i/>
        </w:rPr>
        <w:t>II.1 Une action publique toujours plus ciblée et partenariale…</w:t>
      </w:r>
    </w:p>
    <w:p w14:paraId="6BA3D7D0" w14:textId="518E59E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ab/>
        <w:t xml:space="preserve">Du pénal au social </w:t>
      </w:r>
    </w:p>
    <w:p w14:paraId="079B3E14" w14:textId="77777777" w:rsidR="00B67B39" w:rsidRPr="00B67B39" w:rsidRDefault="00B67B39" w:rsidP="00B67B39">
      <w:pPr>
        <w:ind w:firstLine="708"/>
        <w:jc w:val="both"/>
        <w:rPr>
          <w:rFonts w:ascii="Times New Roman" w:eastAsia="Cambria" w:hAnsi="Times New Roman" w:cs="Times New Roman"/>
        </w:rPr>
      </w:pPr>
      <w:r w:rsidRPr="00B67B39">
        <w:rPr>
          <w:rFonts w:ascii="Times New Roman" w:eastAsia="Cambria" w:hAnsi="Times New Roman" w:cs="Times New Roman"/>
        </w:rPr>
        <w:t>Souci depuis les années 70, 80</w:t>
      </w:r>
    </w:p>
    <w:p w14:paraId="69A92DF3"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ab/>
        <w:t>Partenariat et dépendance mutuelle avec les associations (3 types)</w:t>
      </w:r>
    </w:p>
    <w:p w14:paraId="1A54B552" w14:textId="77777777" w:rsidR="00B67B39" w:rsidRPr="00B67B39" w:rsidRDefault="00B67B39" w:rsidP="00B67B39">
      <w:pPr>
        <w:ind w:firstLine="708"/>
        <w:jc w:val="both"/>
        <w:rPr>
          <w:rFonts w:ascii="Times New Roman" w:eastAsia="Cambria" w:hAnsi="Times New Roman" w:cs="Times New Roman"/>
        </w:rPr>
      </w:pPr>
      <w:r w:rsidRPr="00B67B39">
        <w:rPr>
          <w:rFonts w:ascii="Times New Roman" w:eastAsia="Cambria" w:hAnsi="Times New Roman" w:cs="Times New Roman"/>
        </w:rPr>
        <w:t>Innovations (Samu sociale, accueil de jour)</w:t>
      </w:r>
    </w:p>
    <w:p w14:paraId="3EBCCFCC" w14:textId="77777777" w:rsidR="00B67B39" w:rsidRPr="00B67B39" w:rsidRDefault="00B67B39" w:rsidP="00B67B39">
      <w:pPr>
        <w:jc w:val="both"/>
        <w:rPr>
          <w:rFonts w:ascii="Times New Roman" w:eastAsia="Cambria" w:hAnsi="Times New Roman" w:cs="Times New Roman"/>
        </w:rPr>
      </w:pPr>
      <w:r w:rsidRPr="00B67B39">
        <w:rPr>
          <w:rFonts w:ascii="Times New Roman" w:eastAsia="Cambria" w:hAnsi="Times New Roman" w:cs="Times New Roman"/>
        </w:rPr>
        <w:tab/>
        <w:t>Base de nombre de dispositions (droit au logement, insertion)</w:t>
      </w:r>
    </w:p>
    <w:p w14:paraId="6C7CAA1C" w14:textId="32872BBC" w:rsidR="00B67B39" w:rsidRPr="00B67B39" w:rsidRDefault="00B67B39" w:rsidP="00B67B39">
      <w:pPr>
        <w:jc w:val="both"/>
        <w:rPr>
          <w:rFonts w:ascii="Times New Roman" w:eastAsia="Cambria" w:hAnsi="Times New Roman" w:cs="Times New Roman"/>
        </w:rPr>
      </w:pPr>
      <w:r>
        <w:rPr>
          <w:rFonts w:ascii="Times New Roman" w:eastAsia="Cambria" w:hAnsi="Times New Roman" w:cs="Times New Roman"/>
        </w:rPr>
        <w:tab/>
        <w:t xml:space="preserve">Bureaucratisation croissante </w:t>
      </w:r>
    </w:p>
    <w:p w14:paraId="0596EEAF" w14:textId="77777777" w:rsidR="00B67B39" w:rsidRPr="00B67B39" w:rsidRDefault="00B67B39" w:rsidP="00B67B39">
      <w:pPr>
        <w:jc w:val="both"/>
        <w:rPr>
          <w:rFonts w:ascii="Times New Roman" w:eastAsia="Cambria" w:hAnsi="Times New Roman" w:cs="Times New Roman"/>
        </w:rPr>
      </w:pPr>
    </w:p>
    <w:p w14:paraId="0A4F6274" w14:textId="77777777" w:rsidR="00B67B39" w:rsidRPr="00B67B39" w:rsidRDefault="00B67B39" w:rsidP="00B67B39">
      <w:pPr>
        <w:jc w:val="both"/>
        <w:rPr>
          <w:rFonts w:ascii="Times New Roman" w:eastAsia="Cambria" w:hAnsi="Times New Roman" w:cs="Times New Roman"/>
          <w:b/>
          <w:i/>
        </w:rPr>
      </w:pPr>
      <w:r w:rsidRPr="00B67B39">
        <w:rPr>
          <w:rFonts w:ascii="Times New Roman" w:eastAsia="Cambria" w:hAnsi="Times New Roman" w:cs="Times New Roman"/>
          <w:b/>
          <w:i/>
        </w:rPr>
        <w:t>II.2 … pour une évaluation malaisée</w:t>
      </w:r>
    </w:p>
    <w:p w14:paraId="2280BC6E"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 xml:space="preserve">Jeux de </w:t>
      </w:r>
      <w:proofErr w:type="spellStart"/>
      <w:r w:rsidRPr="00B67B39">
        <w:rPr>
          <w:rFonts w:ascii="Times New Roman" w:eastAsia="Cambria" w:hAnsi="Times New Roman" w:cs="Times New Roman"/>
        </w:rPr>
        <w:t>ping</w:t>
      </w:r>
      <w:proofErr w:type="spellEnd"/>
      <w:r w:rsidRPr="00B67B39">
        <w:rPr>
          <w:rFonts w:ascii="Times New Roman" w:eastAsia="Cambria" w:hAnsi="Times New Roman" w:cs="Times New Roman"/>
        </w:rPr>
        <w:t xml:space="preserve"> </w:t>
      </w:r>
      <w:proofErr w:type="spellStart"/>
      <w:r w:rsidRPr="00B67B39">
        <w:rPr>
          <w:rFonts w:ascii="Times New Roman" w:eastAsia="Cambria" w:hAnsi="Times New Roman" w:cs="Times New Roman"/>
        </w:rPr>
        <w:t>pong</w:t>
      </w:r>
      <w:proofErr w:type="spellEnd"/>
    </w:p>
    <w:p w14:paraId="3FC99BF5"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Jeux de l’oie</w:t>
      </w:r>
    </w:p>
    <w:p w14:paraId="3470D13C" w14:textId="77777777" w:rsidR="00B67B39" w:rsidRPr="00B67B39" w:rsidRDefault="00B67B39" w:rsidP="00B67B39">
      <w:pPr>
        <w:jc w:val="both"/>
        <w:rPr>
          <w:rFonts w:ascii="Times New Roman" w:eastAsia="Cambria" w:hAnsi="Times New Roman" w:cs="Times New Roman"/>
        </w:rPr>
      </w:pPr>
    </w:p>
    <w:p w14:paraId="6717AC5B" w14:textId="06A58F7C" w:rsidR="00B67B39" w:rsidRPr="00B67B39" w:rsidRDefault="00B67B39" w:rsidP="00B67B39">
      <w:pPr>
        <w:jc w:val="both"/>
        <w:rPr>
          <w:rFonts w:ascii="Times New Roman" w:eastAsia="Cambria" w:hAnsi="Times New Roman" w:cs="Times New Roman"/>
          <w:b/>
        </w:rPr>
      </w:pPr>
      <w:r w:rsidRPr="00B67B39">
        <w:rPr>
          <w:rFonts w:ascii="Times New Roman" w:eastAsia="Cambria" w:hAnsi="Times New Roman" w:cs="Times New Roman"/>
          <w:b/>
        </w:rPr>
        <w:t>Conclusion - Quelles perspectives ?</w:t>
      </w:r>
    </w:p>
    <w:p w14:paraId="123C1CCB" w14:textId="671F42AF"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Les objectifs chiffrés. 0 SDF c’est possible</w:t>
      </w:r>
      <w:r>
        <w:rPr>
          <w:rFonts w:ascii="Times New Roman" w:eastAsia="Cambria" w:hAnsi="Times New Roman" w:cs="Times New Roman"/>
        </w:rPr>
        <w:t> ?</w:t>
      </w:r>
    </w:p>
    <w:p w14:paraId="27294348"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Une agence européenne</w:t>
      </w:r>
    </w:p>
    <w:p w14:paraId="7506E916" w14:textId="77777777" w:rsidR="00B67B39" w:rsidRPr="00B67B39" w:rsidRDefault="00B67B39" w:rsidP="00B67B39">
      <w:pPr>
        <w:ind w:left="708"/>
        <w:jc w:val="both"/>
        <w:rPr>
          <w:rFonts w:ascii="Times New Roman" w:eastAsia="Cambria" w:hAnsi="Times New Roman" w:cs="Times New Roman"/>
        </w:rPr>
      </w:pPr>
      <w:r w:rsidRPr="00B67B39">
        <w:rPr>
          <w:rFonts w:ascii="Times New Roman" w:eastAsia="Cambria" w:hAnsi="Times New Roman" w:cs="Times New Roman"/>
        </w:rPr>
        <w:t>Logement d’abord</w:t>
      </w:r>
    </w:p>
    <w:p w14:paraId="2F7FE4A6" w14:textId="77777777" w:rsidR="00255940" w:rsidRPr="00B7666B" w:rsidRDefault="00255940" w:rsidP="00255940">
      <w:pPr>
        <w:jc w:val="both"/>
        <w:rPr>
          <w:rFonts w:ascii="Times New Roman" w:hAnsi="Times New Roman" w:cs="Times New Roman"/>
        </w:rPr>
      </w:pPr>
    </w:p>
    <w:p w14:paraId="1C870C8D" w14:textId="06AD6725" w:rsidR="005C56BB" w:rsidRDefault="005C56BB">
      <w:pPr>
        <w:rPr>
          <w:rFonts w:cs="Times New Roman"/>
          <w:sz w:val="32"/>
        </w:rPr>
      </w:pPr>
      <w:r>
        <w:rPr>
          <w:rFonts w:cs="Times New Roman"/>
          <w:sz w:val="32"/>
        </w:rPr>
        <w:br w:type="page"/>
      </w:r>
    </w:p>
    <w:p w14:paraId="3E92314B" w14:textId="7D1C4EB3" w:rsidR="005C56BB" w:rsidRPr="00700B4E" w:rsidRDefault="005C56BB" w:rsidP="005C56BB">
      <w:pPr>
        <w:pStyle w:val="TITRE1BIEN"/>
        <w:rPr>
          <w:sz w:val="32"/>
        </w:rPr>
      </w:pPr>
      <w:bookmarkStart w:id="2" w:name="_Toc269846250"/>
      <w:r>
        <w:rPr>
          <w:sz w:val="32"/>
        </w:rPr>
        <w:t>Opinions : craintes françaises et diversité européenne</w:t>
      </w:r>
      <w:bookmarkEnd w:id="2"/>
    </w:p>
    <w:p w14:paraId="455ABCCD" w14:textId="77777777" w:rsidR="00255940" w:rsidRDefault="00255940">
      <w:pPr>
        <w:rPr>
          <w:rFonts w:cs="Times New Roman"/>
          <w:sz w:val="32"/>
        </w:rPr>
      </w:pPr>
    </w:p>
    <w:p w14:paraId="55821849" w14:textId="77777777" w:rsidR="005C56BB" w:rsidRPr="00E94714" w:rsidRDefault="005C56BB" w:rsidP="005C56BB">
      <w:pPr>
        <w:jc w:val="both"/>
        <w:rPr>
          <w:rFonts w:ascii="Times New Roman" w:hAnsi="Times New Roman" w:cs="Times New Roman"/>
          <w:bCs/>
          <w:lang w:bidi="fr-FR"/>
        </w:rPr>
      </w:pPr>
    </w:p>
    <w:p w14:paraId="7AEA9589" w14:textId="77777777" w:rsidR="005C56BB" w:rsidRPr="005C56BB" w:rsidRDefault="005C56BB" w:rsidP="005C56BB">
      <w:pPr>
        <w:jc w:val="both"/>
        <w:rPr>
          <w:rFonts w:ascii="Times New Roman" w:hAnsi="Times New Roman" w:cs="Times New Roman"/>
          <w:b/>
          <w:bCs/>
          <w:sz w:val="20"/>
          <w:szCs w:val="20"/>
          <w:lang w:bidi="fr-FR"/>
        </w:rPr>
      </w:pPr>
      <w:r w:rsidRPr="005C56BB">
        <w:rPr>
          <w:rFonts w:ascii="Times New Roman" w:hAnsi="Times New Roman" w:cs="Times New Roman"/>
          <w:b/>
          <w:bCs/>
          <w:sz w:val="20"/>
          <w:szCs w:val="20"/>
          <w:lang w:bidi="fr-FR"/>
        </w:rPr>
        <w:t>Part de la population considérant pouvoir devenir un jour sans-abri (en %)</w:t>
      </w:r>
    </w:p>
    <w:p w14:paraId="1477B3FD" w14:textId="77777777" w:rsidR="005C56BB" w:rsidRPr="00E94714" w:rsidRDefault="005C56BB" w:rsidP="005C56BB">
      <w:pPr>
        <w:jc w:val="both"/>
        <w:rPr>
          <w:rFonts w:ascii="Times New Roman" w:hAnsi="Times New Roman" w:cs="Times New Roman"/>
          <w:bCs/>
          <w:lang w:bidi="fr-FR"/>
        </w:rPr>
      </w:pPr>
      <w:r>
        <w:rPr>
          <w:noProof/>
          <w:lang w:eastAsia="fr-FR"/>
        </w:rPr>
        <w:drawing>
          <wp:inline distT="0" distB="0" distL="0" distR="0" wp14:anchorId="499C8DF6" wp14:editId="15FEFEE5">
            <wp:extent cx="5756910" cy="2446962"/>
            <wp:effectExtent l="0" t="0" r="889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40B744" w14:textId="77777777" w:rsidR="005C56BB" w:rsidRPr="006E52F4" w:rsidRDefault="005C56BB" w:rsidP="005C56BB">
      <w:pPr>
        <w:jc w:val="both"/>
        <w:rPr>
          <w:rFonts w:ascii="Times New Roman" w:hAnsi="Times New Roman" w:cs="Times New Roman"/>
          <w:bCs/>
          <w:sz w:val="20"/>
          <w:szCs w:val="20"/>
          <w:lang w:bidi="fr-FR"/>
        </w:rPr>
      </w:pPr>
      <w:r w:rsidRPr="006E52F4">
        <w:rPr>
          <w:rFonts w:ascii="Times New Roman" w:hAnsi="Times New Roman" w:cs="Times New Roman"/>
          <w:bCs/>
          <w:sz w:val="20"/>
          <w:szCs w:val="20"/>
          <w:lang w:bidi="fr-FR"/>
        </w:rPr>
        <w:t>Source : Eurobaromètre spécial, n° 279, « </w:t>
      </w:r>
      <w:proofErr w:type="spellStart"/>
      <w:r w:rsidRPr="006E52F4">
        <w:rPr>
          <w:rFonts w:ascii="Times New Roman" w:hAnsi="Times New Roman" w:cs="Times New Roman"/>
          <w:bCs/>
          <w:sz w:val="20"/>
          <w:szCs w:val="20"/>
          <w:lang w:bidi="fr-FR"/>
        </w:rPr>
        <w:t>Poverty</w:t>
      </w:r>
      <w:proofErr w:type="spellEnd"/>
      <w:r w:rsidRPr="006E52F4">
        <w:rPr>
          <w:rFonts w:ascii="Times New Roman" w:hAnsi="Times New Roman" w:cs="Times New Roman"/>
          <w:bCs/>
          <w:sz w:val="20"/>
          <w:szCs w:val="20"/>
          <w:lang w:bidi="fr-FR"/>
        </w:rPr>
        <w:t xml:space="preserve"> and Exclusion », 2007</w:t>
      </w:r>
    </w:p>
    <w:p w14:paraId="599B612A" w14:textId="77777777" w:rsidR="005C56BB" w:rsidRDefault="005C56BB" w:rsidP="005C56BB">
      <w:pPr>
        <w:jc w:val="both"/>
        <w:rPr>
          <w:rFonts w:ascii="Times New Roman" w:hAnsi="Times New Roman" w:cs="Times New Roman"/>
          <w:bCs/>
          <w:lang w:bidi="fr-FR"/>
        </w:rPr>
      </w:pPr>
    </w:p>
    <w:p w14:paraId="57928590" w14:textId="77777777" w:rsidR="00D74EAA" w:rsidRDefault="00D74EAA" w:rsidP="005C56BB">
      <w:pPr>
        <w:jc w:val="both"/>
        <w:rPr>
          <w:rFonts w:ascii="Times New Roman" w:hAnsi="Times New Roman" w:cs="Times New Roman"/>
          <w:bCs/>
          <w:lang w:bidi="fr-FR"/>
        </w:rPr>
      </w:pPr>
    </w:p>
    <w:p w14:paraId="20F82E3A" w14:textId="55C4032E" w:rsidR="00D74EAA" w:rsidRPr="00E94714" w:rsidRDefault="00D74EAA" w:rsidP="005C56BB">
      <w:pPr>
        <w:jc w:val="both"/>
        <w:rPr>
          <w:rFonts w:ascii="Times New Roman" w:hAnsi="Times New Roman" w:cs="Times New Roman"/>
          <w:bCs/>
          <w:lang w:bidi="fr-FR"/>
        </w:rPr>
      </w:pPr>
      <w:r w:rsidRPr="00D74EAA">
        <w:rPr>
          <w:rFonts w:ascii="Times New Roman" w:hAnsi="Times New Roman" w:cs="Times New Roman"/>
          <w:bCs/>
          <w:noProof/>
          <w:lang w:eastAsia="fr-FR"/>
        </w:rPr>
        <w:drawing>
          <wp:inline distT="0" distB="0" distL="0" distR="0" wp14:anchorId="5BBAD4E0" wp14:editId="7B67BC45">
            <wp:extent cx="5351145" cy="3657600"/>
            <wp:effectExtent l="0" t="0" r="8255" b="0"/>
            <wp:docPr id="38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2379" cy="3658443"/>
                    </a:xfrm>
                    <a:prstGeom prst="rect">
                      <a:avLst/>
                    </a:prstGeom>
                    <a:noFill/>
                    <a:ln>
                      <a:noFill/>
                    </a:ln>
                    <a:extLst/>
                  </pic:spPr>
                </pic:pic>
              </a:graphicData>
            </a:graphic>
          </wp:inline>
        </w:drawing>
      </w:r>
    </w:p>
    <w:p w14:paraId="38EB6000" w14:textId="77777777" w:rsidR="005C56BB" w:rsidRPr="005C56BB" w:rsidRDefault="005C56BB" w:rsidP="00D74EAA">
      <w:pPr>
        <w:keepNext/>
        <w:jc w:val="both"/>
        <w:rPr>
          <w:rFonts w:ascii="Times New Roman" w:hAnsi="Times New Roman" w:cs="Times New Roman"/>
          <w:b/>
          <w:bCs/>
          <w:sz w:val="20"/>
          <w:szCs w:val="20"/>
          <w:lang w:bidi="fr-FR"/>
        </w:rPr>
      </w:pPr>
      <w:r w:rsidRPr="005C56BB">
        <w:rPr>
          <w:rFonts w:ascii="Times New Roman" w:hAnsi="Times New Roman" w:cs="Times New Roman"/>
          <w:b/>
          <w:bCs/>
          <w:sz w:val="20"/>
          <w:szCs w:val="20"/>
          <w:lang w:bidi="fr-FR"/>
        </w:rPr>
        <w:t xml:space="preserve">Part de la population considérant que les problèmes d’emploi constituent une des trois principales explications du </w:t>
      </w:r>
      <w:proofErr w:type="spellStart"/>
      <w:r w:rsidRPr="005C56BB">
        <w:rPr>
          <w:rFonts w:ascii="Times New Roman" w:hAnsi="Times New Roman" w:cs="Times New Roman"/>
          <w:b/>
          <w:bCs/>
          <w:sz w:val="20"/>
          <w:szCs w:val="20"/>
          <w:lang w:bidi="fr-FR"/>
        </w:rPr>
        <w:t>sans-abrisme</w:t>
      </w:r>
      <w:proofErr w:type="spellEnd"/>
    </w:p>
    <w:p w14:paraId="38CEAE60" w14:textId="77777777" w:rsidR="005C56BB" w:rsidRPr="00E94714" w:rsidRDefault="005C56BB" w:rsidP="00D74EAA">
      <w:pPr>
        <w:keepNext/>
        <w:jc w:val="both"/>
        <w:rPr>
          <w:rFonts w:ascii="Times New Roman" w:hAnsi="Times New Roman" w:cs="Times New Roman"/>
          <w:bCs/>
        </w:rPr>
      </w:pPr>
      <w:r>
        <w:rPr>
          <w:noProof/>
          <w:lang w:eastAsia="fr-FR"/>
        </w:rPr>
        <w:drawing>
          <wp:inline distT="0" distB="0" distL="0" distR="0" wp14:anchorId="72855993" wp14:editId="00CA5A10">
            <wp:extent cx="5756910" cy="2259676"/>
            <wp:effectExtent l="0" t="0" r="8890" b="127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ABE86A" w14:textId="77777777" w:rsidR="005C56BB" w:rsidRPr="006E52F4" w:rsidRDefault="005C56BB" w:rsidP="005C56BB">
      <w:pPr>
        <w:jc w:val="both"/>
        <w:rPr>
          <w:rFonts w:ascii="Times New Roman" w:hAnsi="Times New Roman" w:cs="Times New Roman"/>
          <w:bCs/>
          <w:sz w:val="20"/>
          <w:szCs w:val="20"/>
          <w:lang w:bidi="fr-FR"/>
        </w:rPr>
      </w:pPr>
      <w:r w:rsidRPr="006E52F4">
        <w:rPr>
          <w:rFonts w:ascii="Times New Roman" w:hAnsi="Times New Roman" w:cs="Times New Roman"/>
          <w:bCs/>
          <w:sz w:val="20"/>
          <w:szCs w:val="20"/>
          <w:lang w:bidi="fr-FR"/>
        </w:rPr>
        <w:t>Source : Eurobaromètre spécial, n° 279, « </w:t>
      </w:r>
      <w:proofErr w:type="spellStart"/>
      <w:r w:rsidRPr="006E52F4">
        <w:rPr>
          <w:rFonts w:ascii="Times New Roman" w:hAnsi="Times New Roman" w:cs="Times New Roman"/>
          <w:bCs/>
          <w:sz w:val="20"/>
          <w:szCs w:val="20"/>
          <w:lang w:bidi="fr-FR"/>
        </w:rPr>
        <w:t>Poverty</w:t>
      </w:r>
      <w:proofErr w:type="spellEnd"/>
      <w:r w:rsidRPr="006E52F4">
        <w:rPr>
          <w:rFonts w:ascii="Times New Roman" w:hAnsi="Times New Roman" w:cs="Times New Roman"/>
          <w:bCs/>
          <w:sz w:val="20"/>
          <w:szCs w:val="20"/>
          <w:lang w:bidi="fr-FR"/>
        </w:rPr>
        <w:t xml:space="preserve"> and Exclusion », 2007</w:t>
      </w:r>
    </w:p>
    <w:p w14:paraId="3AFFE5C7" w14:textId="77777777" w:rsidR="005C56BB" w:rsidRPr="00E94714" w:rsidRDefault="005C56BB" w:rsidP="005C56BB">
      <w:pPr>
        <w:jc w:val="both"/>
        <w:rPr>
          <w:rFonts w:ascii="Times New Roman" w:hAnsi="Times New Roman" w:cs="Times New Roman"/>
          <w:bCs/>
        </w:rPr>
      </w:pPr>
    </w:p>
    <w:p w14:paraId="061ED0C6" w14:textId="77777777" w:rsidR="005C56BB" w:rsidRPr="005C56BB" w:rsidRDefault="005C56BB" w:rsidP="005C56BB">
      <w:pPr>
        <w:jc w:val="both"/>
        <w:rPr>
          <w:rFonts w:ascii="Times New Roman" w:hAnsi="Times New Roman" w:cs="Times New Roman"/>
          <w:b/>
          <w:bCs/>
          <w:sz w:val="20"/>
          <w:szCs w:val="20"/>
          <w:lang w:bidi="fr-FR"/>
        </w:rPr>
      </w:pPr>
      <w:r w:rsidRPr="005C56BB">
        <w:rPr>
          <w:rFonts w:ascii="Times New Roman" w:hAnsi="Times New Roman" w:cs="Times New Roman"/>
          <w:b/>
          <w:bCs/>
          <w:sz w:val="20"/>
          <w:szCs w:val="20"/>
          <w:lang w:bidi="fr-FR"/>
        </w:rPr>
        <w:t xml:space="preserve">Part de la population considérant que les problèmes de logement constituent une des trois principales explications du </w:t>
      </w:r>
      <w:proofErr w:type="spellStart"/>
      <w:r w:rsidRPr="005C56BB">
        <w:rPr>
          <w:rFonts w:ascii="Times New Roman" w:hAnsi="Times New Roman" w:cs="Times New Roman"/>
          <w:b/>
          <w:bCs/>
          <w:sz w:val="20"/>
          <w:szCs w:val="20"/>
          <w:lang w:bidi="fr-FR"/>
        </w:rPr>
        <w:t>sans-abrisme</w:t>
      </w:r>
      <w:proofErr w:type="spellEnd"/>
    </w:p>
    <w:p w14:paraId="673BFF5D" w14:textId="77777777" w:rsidR="005C56BB" w:rsidRPr="00E94714" w:rsidRDefault="005C56BB" w:rsidP="005C56BB">
      <w:pPr>
        <w:jc w:val="both"/>
        <w:rPr>
          <w:rFonts w:ascii="Times New Roman" w:hAnsi="Times New Roman" w:cs="Times New Roman"/>
        </w:rPr>
      </w:pPr>
      <w:r>
        <w:rPr>
          <w:noProof/>
          <w:lang w:eastAsia="fr-FR"/>
        </w:rPr>
        <w:drawing>
          <wp:inline distT="0" distB="0" distL="0" distR="0" wp14:anchorId="6DEDBC73" wp14:editId="54638129">
            <wp:extent cx="5756910" cy="1978747"/>
            <wp:effectExtent l="0" t="0" r="8890" b="254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C07EE9" w14:textId="77777777" w:rsidR="005C56BB" w:rsidRPr="006E52F4" w:rsidRDefault="005C56BB" w:rsidP="005C56BB">
      <w:pPr>
        <w:jc w:val="both"/>
        <w:rPr>
          <w:rFonts w:ascii="Times New Roman" w:hAnsi="Times New Roman" w:cs="Times New Roman"/>
          <w:bCs/>
          <w:sz w:val="20"/>
          <w:szCs w:val="20"/>
          <w:lang w:bidi="fr-FR"/>
        </w:rPr>
      </w:pPr>
      <w:r w:rsidRPr="006E52F4">
        <w:rPr>
          <w:rFonts w:ascii="Times New Roman" w:hAnsi="Times New Roman" w:cs="Times New Roman"/>
          <w:bCs/>
          <w:sz w:val="20"/>
          <w:szCs w:val="20"/>
          <w:lang w:bidi="fr-FR"/>
        </w:rPr>
        <w:t>Source : Eurobaromètre spécial, n° 279, « </w:t>
      </w:r>
      <w:proofErr w:type="spellStart"/>
      <w:r w:rsidRPr="006E52F4">
        <w:rPr>
          <w:rFonts w:ascii="Times New Roman" w:hAnsi="Times New Roman" w:cs="Times New Roman"/>
          <w:bCs/>
          <w:sz w:val="20"/>
          <w:szCs w:val="20"/>
          <w:lang w:bidi="fr-FR"/>
        </w:rPr>
        <w:t>Poverty</w:t>
      </w:r>
      <w:proofErr w:type="spellEnd"/>
      <w:r w:rsidRPr="006E52F4">
        <w:rPr>
          <w:rFonts w:ascii="Times New Roman" w:hAnsi="Times New Roman" w:cs="Times New Roman"/>
          <w:bCs/>
          <w:sz w:val="20"/>
          <w:szCs w:val="20"/>
          <w:lang w:bidi="fr-FR"/>
        </w:rPr>
        <w:t xml:space="preserve"> and Exclusion », 2007</w:t>
      </w:r>
    </w:p>
    <w:p w14:paraId="0AD1683F" w14:textId="77777777" w:rsidR="005C56BB" w:rsidRPr="00E94714" w:rsidRDefault="005C56BB" w:rsidP="005C56BB">
      <w:pPr>
        <w:jc w:val="both"/>
        <w:rPr>
          <w:rFonts w:ascii="Times New Roman" w:hAnsi="Times New Roman" w:cs="Times New Roman"/>
        </w:rPr>
      </w:pPr>
    </w:p>
    <w:p w14:paraId="1E98E3D3" w14:textId="77777777" w:rsidR="005C56BB" w:rsidRPr="005C56BB" w:rsidRDefault="005C56BB" w:rsidP="005C56BB">
      <w:pPr>
        <w:jc w:val="both"/>
        <w:rPr>
          <w:rFonts w:ascii="Times New Roman" w:hAnsi="Times New Roman" w:cs="Times New Roman"/>
          <w:b/>
          <w:sz w:val="20"/>
          <w:szCs w:val="20"/>
          <w:lang w:bidi="fr-FR"/>
        </w:rPr>
      </w:pPr>
      <w:r w:rsidRPr="005C56BB">
        <w:rPr>
          <w:rFonts w:ascii="Times New Roman" w:hAnsi="Times New Roman" w:cs="Times New Roman"/>
          <w:b/>
          <w:sz w:val="20"/>
          <w:szCs w:val="20"/>
          <w:lang w:bidi="fr-FR"/>
        </w:rPr>
        <w:t xml:space="preserve">Part de la population considérant que les problèmes d’addiction – drogue/alcool – constituent une des trois principales explications du </w:t>
      </w:r>
      <w:proofErr w:type="spellStart"/>
      <w:r w:rsidRPr="005C56BB">
        <w:rPr>
          <w:rFonts w:ascii="Times New Roman" w:hAnsi="Times New Roman" w:cs="Times New Roman"/>
          <w:b/>
          <w:sz w:val="20"/>
          <w:szCs w:val="20"/>
          <w:lang w:bidi="fr-FR"/>
        </w:rPr>
        <w:t>sans-abrisme</w:t>
      </w:r>
      <w:proofErr w:type="spellEnd"/>
      <w:r w:rsidRPr="005C56BB">
        <w:rPr>
          <w:rFonts w:ascii="Times New Roman" w:hAnsi="Times New Roman" w:cs="Times New Roman"/>
          <w:b/>
          <w:sz w:val="20"/>
          <w:szCs w:val="20"/>
          <w:lang w:bidi="fr-FR"/>
        </w:rPr>
        <w:t xml:space="preserve"> (en %)</w:t>
      </w:r>
    </w:p>
    <w:p w14:paraId="6A68CC33" w14:textId="77777777" w:rsidR="005C56BB" w:rsidRPr="006E52F4" w:rsidRDefault="005C56BB" w:rsidP="005C56BB">
      <w:pPr>
        <w:jc w:val="both"/>
        <w:rPr>
          <w:rFonts w:ascii="Times New Roman" w:hAnsi="Times New Roman" w:cs="Times New Roman"/>
          <w:bCs/>
          <w:sz w:val="20"/>
          <w:szCs w:val="20"/>
          <w:lang w:bidi="fr-FR"/>
        </w:rPr>
      </w:pPr>
      <w:r>
        <w:rPr>
          <w:noProof/>
          <w:lang w:eastAsia="fr-FR"/>
        </w:rPr>
        <w:drawing>
          <wp:inline distT="0" distB="0" distL="0" distR="0" wp14:anchorId="085EF12B" wp14:editId="3D56A7FB">
            <wp:extent cx="5756910" cy="1978747"/>
            <wp:effectExtent l="0" t="0" r="8890" b="254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E52F4">
        <w:rPr>
          <w:rFonts w:ascii="Times New Roman" w:hAnsi="Times New Roman" w:cs="Times New Roman"/>
          <w:bCs/>
          <w:sz w:val="20"/>
          <w:szCs w:val="20"/>
          <w:lang w:bidi="fr-FR"/>
        </w:rPr>
        <w:t>Source : Eurobaromètre spécial, n° 279, « </w:t>
      </w:r>
      <w:proofErr w:type="spellStart"/>
      <w:r w:rsidRPr="006E52F4">
        <w:rPr>
          <w:rFonts w:ascii="Times New Roman" w:hAnsi="Times New Roman" w:cs="Times New Roman"/>
          <w:bCs/>
          <w:sz w:val="20"/>
          <w:szCs w:val="20"/>
          <w:lang w:bidi="fr-FR"/>
        </w:rPr>
        <w:t>Poverty</w:t>
      </w:r>
      <w:proofErr w:type="spellEnd"/>
      <w:r w:rsidRPr="006E52F4">
        <w:rPr>
          <w:rFonts w:ascii="Times New Roman" w:hAnsi="Times New Roman" w:cs="Times New Roman"/>
          <w:bCs/>
          <w:sz w:val="20"/>
          <w:szCs w:val="20"/>
          <w:lang w:bidi="fr-FR"/>
        </w:rPr>
        <w:t xml:space="preserve"> and Exclusion », 2007</w:t>
      </w:r>
    </w:p>
    <w:p w14:paraId="516EA35B" w14:textId="77777777" w:rsidR="005C56BB" w:rsidRDefault="005C56BB" w:rsidP="005C56BB">
      <w:pPr>
        <w:jc w:val="both"/>
        <w:rPr>
          <w:rFonts w:ascii="Times New Roman" w:hAnsi="Times New Roman" w:cs="Times New Roman"/>
          <w:bCs/>
        </w:rPr>
      </w:pPr>
    </w:p>
    <w:p w14:paraId="20C6C98F" w14:textId="77777777" w:rsidR="005C56BB" w:rsidRPr="00E94714" w:rsidRDefault="005C56BB" w:rsidP="005C56BB">
      <w:pPr>
        <w:jc w:val="both"/>
        <w:rPr>
          <w:rFonts w:ascii="Times New Roman" w:hAnsi="Times New Roman" w:cs="Times New Roman"/>
          <w:bCs/>
        </w:rPr>
      </w:pPr>
    </w:p>
    <w:p w14:paraId="052F47C6" w14:textId="77777777" w:rsidR="005C56BB" w:rsidRPr="005C56BB" w:rsidRDefault="005C56BB" w:rsidP="00D74EAA">
      <w:pPr>
        <w:keepNext/>
        <w:jc w:val="both"/>
        <w:rPr>
          <w:rFonts w:ascii="Times New Roman" w:hAnsi="Times New Roman" w:cs="Times New Roman"/>
          <w:b/>
          <w:sz w:val="20"/>
          <w:szCs w:val="20"/>
        </w:rPr>
      </w:pPr>
      <w:r w:rsidRPr="005C56BB">
        <w:rPr>
          <w:rFonts w:ascii="Times New Roman" w:hAnsi="Times New Roman" w:cs="Times New Roman"/>
          <w:b/>
          <w:bCs/>
          <w:sz w:val="20"/>
          <w:szCs w:val="20"/>
        </w:rPr>
        <w:t>Part de la population estimant que le gouvernement ne dépense pas beaucoup pour aider les personnes sans abri</w:t>
      </w:r>
    </w:p>
    <w:p w14:paraId="01E11BB9" w14:textId="77777777" w:rsidR="005C56BB" w:rsidRPr="00E94714" w:rsidRDefault="005C56BB" w:rsidP="00D74EAA">
      <w:pPr>
        <w:keepNext/>
        <w:jc w:val="both"/>
        <w:rPr>
          <w:rFonts w:ascii="Times New Roman" w:hAnsi="Times New Roman" w:cs="Times New Roman"/>
          <w:b/>
          <w:sz w:val="18"/>
          <w:szCs w:val="18"/>
        </w:rPr>
      </w:pPr>
      <w:r>
        <w:rPr>
          <w:noProof/>
          <w:lang w:eastAsia="fr-FR"/>
        </w:rPr>
        <w:drawing>
          <wp:inline distT="0" distB="0" distL="0" distR="0" wp14:anchorId="40772C37" wp14:editId="36E80044">
            <wp:extent cx="5756910" cy="2461039"/>
            <wp:effectExtent l="0" t="0" r="8890" b="317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F142CD" w14:textId="77777777" w:rsidR="005C56BB" w:rsidRPr="006E52F4" w:rsidRDefault="005C56BB" w:rsidP="005C56BB">
      <w:pPr>
        <w:jc w:val="both"/>
        <w:rPr>
          <w:rFonts w:ascii="Times New Roman" w:hAnsi="Times New Roman" w:cs="Times New Roman"/>
          <w:bCs/>
          <w:sz w:val="20"/>
          <w:szCs w:val="20"/>
        </w:rPr>
      </w:pPr>
      <w:r w:rsidRPr="006E52F4">
        <w:rPr>
          <w:rFonts w:ascii="Times New Roman" w:hAnsi="Times New Roman" w:cs="Times New Roman"/>
          <w:bCs/>
          <w:sz w:val="20"/>
          <w:szCs w:val="20"/>
          <w:lang w:bidi="fr-FR"/>
        </w:rPr>
        <w:t xml:space="preserve">Source : Eurobaromètre, n° 74.1, « </w:t>
      </w:r>
      <w:proofErr w:type="spellStart"/>
      <w:r w:rsidRPr="006E52F4">
        <w:rPr>
          <w:rFonts w:ascii="Times New Roman" w:hAnsi="Times New Roman" w:cs="Times New Roman"/>
          <w:bCs/>
          <w:sz w:val="20"/>
          <w:szCs w:val="20"/>
          <w:lang w:bidi="fr-FR"/>
        </w:rPr>
        <w:t>Poverty</w:t>
      </w:r>
      <w:proofErr w:type="spellEnd"/>
      <w:r w:rsidRPr="006E52F4">
        <w:rPr>
          <w:rFonts w:ascii="Times New Roman" w:hAnsi="Times New Roman" w:cs="Times New Roman"/>
          <w:bCs/>
          <w:sz w:val="20"/>
          <w:szCs w:val="20"/>
          <w:lang w:bidi="fr-FR"/>
        </w:rPr>
        <w:t xml:space="preserve"> and Social Exclusion », 2010</w:t>
      </w:r>
      <w:r w:rsidRPr="006E52F4">
        <w:rPr>
          <w:rFonts w:ascii="Times New Roman" w:hAnsi="Times New Roman" w:cs="Times New Roman"/>
          <w:bCs/>
          <w:sz w:val="20"/>
          <w:szCs w:val="20"/>
        </w:rPr>
        <w:t xml:space="preserve"> </w:t>
      </w:r>
    </w:p>
    <w:p w14:paraId="4509CD74" w14:textId="77777777" w:rsidR="005C56BB" w:rsidRDefault="005C56BB">
      <w:pPr>
        <w:rPr>
          <w:rFonts w:cs="Times New Roman"/>
          <w:sz w:val="32"/>
        </w:rPr>
      </w:pPr>
    </w:p>
    <w:p w14:paraId="330D5910" w14:textId="2193CC2A" w:rsidR="00D74EAA" w:rsidRDefault="00D74EAA">
      <w:pPr>
        <w:rPr>
          <w:rFonts w:cs="Times New Roman"/>
          <w:sz w:val="32"/>
        </w:rPr>
      </w:pPr>
      <w:r w:rsidRPr="00D74EAA">
        <w:rPr>
          <w:rFonts w:cs="Times New Roman"/>
          <w:noProof/>
          <w:sz w:val="32"/>
          <w:lang w:eastAsia="fr-FR"/>
        </w:rPr>
        <w:drawing>
          <wp:inline distT="0" distB="0" distL="0" distR="0" wp14:anchorId="3E0C1D52" wp14:editId="7B1C8D33">
            <wp:extent cx="5756206" cy="4074160"/>
            <wp:effectExtent l="0" t="0" r="10160" b="0"/>
            <wp:docPr id="44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074658"/>
                    </a:xfrm>
                    <a:prstGeom prst="rect">
                      <a:avLst/>
                    </a:prstGeom>
                    <a:noFill/>
                    <a:ln>
                      <a:noFill/>
                    </a:ln>
                    <a:extLst/>
                  </pic:spPr>
                </pic:pic>
              </a:graphicData>
            </a:graphic>
          </wp:inline>
        </w:drawing>
      </w:r>
    </w:p>
    <w:p w14:paraId="2175B1AF" w14:textId="02B54188" w:rsidR="00D02852" w:rsidRPr="00700B4E" w:rsidRDefault="00255940" w:rsidP="00D02852">
      <w:pPr>
        <w:pStyle w:val="TITRE1BIEN"/>
        <w:rPr>
          <w:sz w:val="32"/>
        </w:rPr>
      </w:pPr>
      <w:r>
        <w:rPr>
          <w:rFonts w:eastAsiaTheme="majorEastAsia"/>
          <w:color w:val="000000" w:themeColor="text1"/>
          <w:sz w:val="32"/>
          <w:szCs w:val="32"/>
        </w:rPr>
        <w:br w:type="page"/>
      </w:r>
      <w:bookmarkStart w:id="3" w:name="_Toc269846251"/>
      <w:r w:rsidR="00D02852">
        <w:rPr>
          <w:sz w:val="32"/>
        </w:rPr>
        <w:t>Du pénal au social</w:t>
      </w:r>
      <w:bookmarkEnd w:id="3"/>
    </w:p>
    <w:p w14:paraId="1326E4B8" w14:textId="1FA05E8F" w:rsidR="00D02852" w:rsidRDefault="00D02852">
      <w:pPr>
        <w:rPr>
          <w:rFonts w:ascii="Times New Roman" w:eastAsiaTheme="majorEastAsia" w:hAnsi="Times New Roman" w:cs="Times New Roman"/>
          <w:b/>
          <w:bCs/>
          <w:color w:val="000000" w:themeColor="text1"/>
          <w:sz w:val="32"/>
          <w:szCs w:val="32"/>
        </w:rPr>
      </w:pPr>
    </w:p>
    <w:p w14:paraId="665855A9" w14:textId="42EC8242" w:rsidR="00255940" w:rsidRPr="00177383" w:rsidRDefault="00D5129B" w:rsidP="00177383">
      <w:pPr>
        <w:rPr>
          <w:b/>
        </w:rPr>
      </w:pPr>
      <w:r>
        <w:rPr>
          <w:b/>
        </w:rPr>
        <w:t xml:space="preserve">D’abord du Pénal. </w:t>
      </w:r>
      <w:r w:rsidR="00177383" w:rsidRPr="00177383">
        <w:rPr>
          <w:b/>
        </w:rPr>
        <w:t>Les délits de vagabondage et de mendicité</w:t>
      </w:r>
    </w:p>
    <w:p w14:paraId="064DECF5" w14:textId="77777777" w:rsidR="00D5129B" w:rsidRDefault="00D5129B">
      <w:pPr>
        <w:rPr>
          <w:rFonts w:ascii="Times New Roman" w:eastAsiaTheme="majorEastAsia" w:hAnsi="Times New Roman" w:cs="Times New Roman"/>
          <w:b/>
          <w:bCs/>
          <w:color w:val="000000" w:themeColor="text1"/>
          <w:sz w:val="32"/>
          <w:szCs w:val="32"/>
        </w:rPr>
      </w:pPr>
      <w:r>
        <w:rPr>
          <w:noProof/>
          <w:lang w:eastAsia="fr-FR"/>
        </w:rPr>
        <w:drawing>
          <wp:inline distT="0" distB="0" distL="0" distR="0" wp14:anchorId="60C7AF0F" wp14:editId="12E4A9E9">
            <wp:extent cx="5756910" cy="3660651"/>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660651"/>
                    </a:xfrm>
                    <a:prstGeom prst="rect">
                      <a:avLst/>
                    </a:prstGeom>
                    <a:noFill/>
                    <a:ln>
                      <a:noFill/>
                    </a:ln>
                    <a:effectLst/>
                    <a:extLst/>
                  </pic:spPr>
                </pic:pic>
              </a:graphicData>
            </a:graphic>
          </wp:inline>
        </w:drawing>
      </w:r>
    </w:p>
    <w:p w14:paraId="0D8CC1BE" w14:textId="77777777" w:rsidR="00D5129B" w:rsidRDefault="00D5129B">
      <w:pPr>
        <w:rPr>
          <w:rFonts w:ascii="Times New Roman" w:eastAsiaTheme="majorEastAsia" w:hAnsi="Times New Roman" w:cs="Times New Roman"/>
          <w:b/>
          <w:bCs/>
          <w:color w:val="000000" w:themeColor="text1"/>
          <w:szCs w:val="32"/>
        </w:rPr>
      </w:pPr>
      <w:r w:rsidRPr="00D5129B">
        <w:rPr>
          <w:rFonts w:ascii="Times New Roman" w:eastAsiaTheme="majorEastAsia" w:hAnsi="Times New Roman" w:cs="Times New Roman"/>
          <w:b/>
          <w:bCs/>
          <w:color w:val="000000" w:themeColor="text1"/>
          <w:szCs w:val="32"/>
        </w:rPr>
        <w:t>Ensuite</w:t>
      </w:r>
      <w:r>
        <w:rPr>
          <w:rFonts w:ascii="Times New Roman" w:eastAsiaTheme="majorEastAsia" w:hAnsi="Times New Roman" w:cs="Times New Roman"/>
          <w:b/>
          <w:bCs/>
          <w:color w:val="000000" w:themeColor="text1"/>
          <w:szCs w:val="32"/>
        </w:rPr>
        <w:t xml:space="preserve"> du social. Croisement de données…</w:t>
      </w:r>
    </w:p>
    <w:p w14:paraId="60555ED3" w14:textId="005E90E6" w:rsidR="00D5129B" w:rsidRDefault="00D5129B">
      <w:pPr>
        <w:rPr>
          <w:rFonts w:ascii="Times New Roman" w:eastAsiaTheme="majorEastAsia" w:hAnsi="Times New Roman" w:cs="Times New Roman"/>
          <w:b/>
          <w:bCs/>
          <w:color w:val="000000" w:themeColor="text1"/>
          <w:szCs w:val="32"/>
        </w:rPr>
      </w:pPr>
      <w:r w:rsidRPr="00D5129B">
        <w:rPr>
          <w:rFonts w:ascii="Times New Roman" w:eastAsiaTheme="majorEastAsia" w:hAnsi="Times New Roman" w:cs="Times New Roman"/>
          <w:b/>
          <w:bCs/>
          <w:noProof/>
          <w:color w:val="000000" w:themeColor="text1"/>
          <w:szCs w:val="32"/>
          <w:lang w:eastAsia="fr-FR"/>
        </w:rPr>
        <w:drawing>
          <wp:inline distT="0" distB="0" distL="0" distR="0" wp14:anchorId="31C8CCA0" wp14:editId="29CBB0F7">
            <wp:extent cx="5756910" cy="3811214"/>
            <wp:effectExtent l="0" t="0" r="8890" b="0"/>
            <wp:docPr id="50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811214"/>
                    </a:xfrm>
                    <a:prstGeom prst="rect">
                      <a:avLst/>
                    </a:prstGeom>
                    <a:noFill/>
                    <a:ln>
                      <a:noFill/>
                    </a:ln>
                    <a:extLst/>
                  </pic:spPr>
                </pic:pic>
              </a:graphicData>
            </a:graphic>
          </wp:inline>
        </w:drawing>
      </w:r>
      <w:r w:rsidR="00D02852" w:rsidRPr="00D5129B">
        <w:rPr>
          <w:rFonts w:ascii="Times New Roman" w:eastAsiaTheme="majorEastAsia" w:hAnsi="Times New Roman" w:cs="Times New Roman"/>
          <w:b/>
          <w:bCs/>
          <w:color w:val="000000" w:themeColor="text1"/>
          <w:szCs w:val="32"/>
        </w:rPr>
        <w:br w:type="page"/>
      </w:r>
    </w:p>
    <w:p w14:paraId="1E5DF2E9" w14:textId="77777777" w:rsidR="00D02852" w:rsidRDefault="00D02852">
      <w:pPr>
        <w:rPr>
          <w:rFonts w:ascii="Times New Roman" w:eastAsiaTheme="majorEastAsia" w:hAnsi="Times New Roman" w:cs="Times New Roman"/>
          <w:b/>
          <w:bCs/>
          <w:color w:val="000000" w:themeColor="text1"/>
          <w:sz w:val="32"/>
          <w:szCs w:val="32"/>
        </w:rPr>
      </w:pPr>
    </w:p>
    <w:p w14:paraId="668E8E40" w14:textId="77777777" w:rsidR="00D5129B" w:rsidRPr="00D5129B" w:rsidRDefault="00D5129B" w:rsidP="00D5129B">
      <w:pPr>
        <w:pStyle w:val="TITRE1BIEN"/>
        <w:rPr>
          <w:rFonts w:eastAsiaTheme="majorEastAsia"/>
          <w:sz w:val="32"/>
        </w:rPr>
      </w:pPr>
      <w:bookmarkStart w:id="4" w:name="_Toc269846252"/>
      <w:r w:rsidRPr="00D5129B">
        <w:rPr>
          <w:rFonts w:eastAsiaTheme="majorEastAsia"/>
          <w:sz w:val="32"/>
        </w:rPr>
        <w:t>De qui parle-t-on ?</w:t>
      </w:r>
      <w:bookmarkEnd w:id="4"/>
      <w:r w:rsidRPr="00D5129B">
        <w:rPr>
          <w:rFonts w:eastAsiaTheme="majorEastAsia"/>
          <w:sz w:val="32"/>
        </w:rPr>
        <w:t xml:space="preserve"> </w:t>
      </w:r>
    </w:p>
    <w:p w14:paraId="46E97975" w14:textId="77777777" w:rsidR="00D5129B" w:rsidRDefault="00D5129B">
      <w:pPr>
        <w:rPr>
          <w:rFonts w:ascii="Times New Roman" w:eastAsiaTheme="majorEastAsia" w:hAnsi="Times New Roman" w:cs="Times New Roman"/>
          <w:b/>
          <w:bCs/>
          <w:color w:val="000000" w:themeColor="text1"/>
          <w:szCs w:val="32"/>
        </w:rPr>
      </w:pPr>
    </w:p>
    <w:p w14:paraId="153C886C" w14:textId="36B9F444" w:rsidR="00D5129B" w:rsidRPr="00D5129B" w:rsidRDefault="00D5129B">
      <w:pPr>
        <w:rPr>
          <w:rFonts w:ascii="Times New Roman" w:eastAsiaTheme="majorEastAsia" w:hAnsi="Times New Roman" w:cs="Times New Roman"/>
          <w:b/>
          <w:bCs/>
          <w:color w:val="000000" w:themeColor="text1"/>
          <w:szCs w:val="32"/>
        </w:rPr>
      </w:pPr>
      <w:r w:rsidRPr="00D5129B">
        <w:rPr>
          <w:rFonts w:ascii="Times New Roman" w:eastAsiaTheme="majorEastAsia" w:hAnsi="Times New Roman" w:cs="Times New Roman"/>
          <w:b/>
          <w:bCs/>
          <w:color w:val="000000" w:themeColor="text1"/>
          <w:szCs w:val="32"/>
        </w:rPr>
        <w:t>Les enseignements d’une étude sur les dépêches AFP</w:t>
      </w:r>
      <w:r>
        <w:rPr>
          <w:rFonts w:ascii="Times New Roman" w:eastAsiaTheme="majorEastAsia" w:hAnsi="Times New Roman" w:cs="Times New Roman"/>
          <w:b/>
          <w:bCs/>
          <w:color w:val="000000" w:themeColor="text1"/>
          <w:szCs w:val="32"/>
        </w:rPr>
        <w:t xml:space="preserve"> (titres)</w:t>
      </w:r>
    </w:p>
    <w:p w14:paraId="6685C923" w14:textId="2877BBB7" w:rsidR="001C3A80" w:rsidRDefault="00D5129B">
      <w:pPr>
        <w:rPr>
          <w:rFonts w:ascii="Times New Roman" w:eastAsiaTheme="majorEastAsia" w:hAnsi="Times New Roman" w:cs="Times New Roman"/>
          <w:b/>
          <w:bCs/>
          <w:color w:val="000000" w:themeColor="text1"/>
          <w:sz w:val="32"/>
          <w:szCs w:val="32"/>
        </w:rPr>
      </w:pPr>
      <w:r w:rsidRPr="00D5129B">
        <w:rPr>
          <w:rFonts w:ascii="Times New Roman" w:eastAsiaTheme="majorEastAsia" w:hAnsi="Times New Roman" w:cs="Times New Roman"/>
          <w:b/>
          <w:bCs/>
          <w:noProof/>
          <w:color w:val="000000" w:themeColor="text1"/>
          <w:sz w:val="32"/>
          <w:szCs w:val="32"/>
          <w:lang w:eastAsia="fr-FR"/>
        </w:rPr>
        <w:drawing>
          <wp:inline distT="0" distB="0" distL="0" distR="0" wp14:anchorId="1469286F" wp14:editId="6CA5FBCE">
            <wp:extent cx="5756910" cy="3291586"/>
            <wp:effectExtent l="0" t="0" r="8890" b="1079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08E158" w14:textId="77777777" w:rsidR="00FA19E5" w:rsidRDefault="00FA19E5">
      <w:pPr>
        <w:rPr>
          <w:rFonts w:ascii="Times New Roman" w:eastAsiaTheme="majorEastAsia" w:hAnsi="Times New Roman" w:cs="Times New Roman"/>
          <w:b/>
          <w:bCs/>
          <w:color w:val="000000" w:themeColor="text1"/>
          <w:sz w:val="32"/>
          <w:szCs w:val="32"/>
        </w:rPr>
      </w:pPr>
    </w:p>
    <w:p w14:paraId="42B77A1F" w14:textId="1D449F75" w:rsidR="00FA19E5" w:rsidRPr="00FA19E5" w:rsidRDefault="00FA19E5">
      <w:pPr>
        <w:rPr>
          <w:rFonts w:ascii="Times New Roman" w:eastAsiaTheme="majorEastAsia" w:hAnsi="Times New Roman" w:cs="Times New Roman"/>
          <w:b/>
          <w:bCs/>
          <w:color w:val="000000" w:themeColor="text1"/>
          <w:szCs w:val="32"/>
        </w:rPr>
      </w:pPr>
      <w:r w:rsidRPr="00FA19E5">
        <w:rPr>
          <w:rFonts w:ascii="Times New Roman" w:eastAsiaTheme="majorEastAsia" w:hAnsi="Times New Roman" w:cs="Times New Roman"/>
          <w:b/>
          <w:bCs/>
          <w:color w:val="000000" w:themeColor="text1"/>
          <w:szCs w:val="32"/>
        </w:rPr>
        <w:t>Avant tout : Des situations et des trajectoires résidentielles qui varient dans le temps</w:t>
      </w:r>
    </w:p>
    <w:p w14:paraId="2828AE2F" w14:textId="5A2ECBC7" w:rsidR="00FA19E5" w:rsidRDefault="00FA19E5">
      <w:pPr>
        <w:rPr>
          <w:rFonts w:ascii="Times New Roman" w:eastAsiaTheme="majorEastAsia" w:hAnsi="Times New Roman" w:cs="Times New Roman"/>
          <w:b/>
          <w:bCs/>
          <w:color w:val="000000" w:themeColor="text1"/>
          <w:sz w:val="32"/>
          <w:szCs w:val="32"/>
        </w:rPr>
      </w:pPr>
      <w:r>
        <w:rPr>
          <w:noProof/>
          <w:lang w:eastAsia="fr-FR"/>
        </w:rPr>
        <w:drawing>
          <wp:inline distT="0" distB="0" distL="0" distR="0" wp14:anchorId="504C6E21" wp14:editId="15DE8FBE">
            <wp:extent cx="5756910" cy="2714427"/>
            <wp:effectExtent l="0" t="0" r="889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714427"/>
                    </a:xfrm>
                    <a:prstGeom prst="rect">
                      <a:avLst/>
                    </a:prstGeom>
                    <a:noFill/>
                    <a:ln>
                      <a:noFill/>
                    </a:ln>
                    <a:effectLst/>
                    <a:extLst/>
                  </pic:spPr>
                </pic:pic>
              </a:graphicData>
            </a:graphic>
          </wp:inline>
        </w:drawing>
      </w:r>
    </w:p>
    <w:p w14:paraId="09AF0ABC" w14:textId="70770A4F" w:rsidR="00A40A8A" w:rsidRDefault="00A40A8A">
      <w:pPr>
        <w:rPr>
          <w:rFonts w:ascii="Times New Roman" w:eastAsiaTheme="majorEastAsia" w:hAnsi="Times New Roman" w:cs="Times New Roman"/>
          <w:b/>
          <w:bCs/>
          <w:color w:val="000000" w:themeColor="text1"/>
          <w:sz w:val="32"/>
          <w:szCs w:val="32"/>
        </w:rPr>
      </w:pPr>
      <w:r>
        <w:rPr>
          <w:rFonts w:ascii="Times New Roman" w:eastAsiaTheme="majorEastAsia" w:hAnsi="Times New Roman" w:cs="Times New Roman"/>
          <w:b/>
          <w:bCs/>
          <w:color w:val="000000" w:themeColor="text1"/>
          <w:sz w:val="32"/>
          <w:szCs w:val="32"/>
        </w:rPr>
        <w:br w:type="page"/>
      </w:r>
    </w:p>
    <w:p w14:paraId="1FDD9802" w14:textId="77777777" w:rsidR="00A40A8A" w:rsidRPr="00A40A8A" w:rsidRDefault="00A40A8A" w:rsidP="00A40A8A">
      <w:pPr>
        <w:rPr>
          <w:rFonts w:ascii="Times New Roman" w:eastAsiaTheme="majorEastAsia" w:hAnsi="Times New Roman" w:cs="Times New Roman"/>
          <w:b/>
          <w:bCs/>
          <w:color w:val="000000" w:themeColor="text1"/>
          <w:szCs w:val="32"/>
        </w:rPr>
      </w:pPr>
      <w:r w:rsidRPr="00A40A8A">
        <w:rPr>
          <w:rFonts w:ascii="Times New Roman" w:eastAsiaTheme="majorEastAsia" w:hAnsi="Times New Roman" w:cs="Times New Roman"/>
          <w:b/>
          <w:bCs/>
          <w:color w:val="000000" w:themeColor="text1"/>
          <w:szCs w:val="32"/>
        </w:rPr>
        <w:t>Un tableau des situations</w:t>
      </w:r>
    </w:p>
    <w:tbl>
      <w:tblPr>
        <w:tblW w:w="5000" w:type="pct"/>
        <w:tblCellMar>
          <w:left w:w="0" w:type="dxa"/>
          <w:right w:w="0" w:type="dxa"/>
        </w:tblCellMar>
        <w:tblLook w:val="0600" w:firstRow="0" w:lastRow="0" w:firstColumn="0" w:lastColumn="0" w:noHBand="1" w:noVBand="1"/>
      </w:tblPr>
      <w:tblGrid>
        <w:gridCol w:w="2670"/>
        <w:gridCol w:w="2228"/>
        <w:gridCol w:w="2228"/>
        <w:gridCol w:w="2228"/>
      </w:tblGrid>
      <w:tr w:rsidR="00A40A8A" w:rsidRPr="00A40A8A" w14:paraId="408F5F55" w14:textId="77777777" w:rsidTr="00A40A8A">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8908C5" w14:textId="77777777" w:rsidR="00A40A8A" w:rsidRPr="00A40A8A" w:rsidRDefault="00A40A8A" w:rsidP="00A40A8A">
            <w:pPr>
              <w:kinsoku w:val="0"/>
              <w:overflowPunct w:val="0"/>
              <w:jc w:val="right"/>
              <w:textAlignment w:val="baseline"/>
              <w:rPr>
                <w:rFonts w:ascii="Arial" w:hAnsi="Arial" w:cs="Arial"/>
                <w:sz w:val="20"/>
                <w:szCs w:val="36"/>
                <w:lang w:eastAsia="fr-FR"/>
              </w:rPr>
            </w:pPr>
            <w:r w:rsidRPr="00A40A8A">
              <w:rPr>
                <w:rFonts w:ascii="Arial" w:eastAsia="ＭＳ Ｐゴシック" w:hAnsi="Arial" w:cs="Times New Roman"/>
                <w:b/>
                <w:bCs/>
                <w:i/>
                <w:iCs/>
                <w:color w:val="FF0000"/>
                <w:kern w:val="24"/>
                <w:sz w:val="20"/>
                <w:szCs w:val="36"/>
                <w:lang w:eastAsia="fr-FR"/>
              </w:rPr>
              <w:t>Fait générateur</w:t>
            </w:r>
          </w:p>
          <w:p w14:paraId="412235A6" w14:textId="77777777" w:rsidR="00A40A8A" w:rsidRPr="00A40A8A" w:rsidRDefault="00A40A8A" w:rsidP="00A40A8A">
            <w:pPr>
              <w:kinsoku w:val="0"/>
              <w:overflowPunct w:val="0"/>
              <w:textAlignment w:val="baseline"/>
              <w:rPr>
                <w:rFonts w:ascii="Arial" w:hAnsi="Arial" w:cs="Arial"/>
                <w:sz w:val="20"/>
                <w:szCs w:val="36"/>
                <w:lang w:eastAsia="fr-FR"/>
              </w:rPr>
            </w:pPr>
            <w:r w:rsidRPr="00A40A8A">
              <w:rPr>
                <w:rFonts w:ascii="Arial" w:eastAsia="ＭＳ Ｐゴシック" w:hAnsi="Arial" w:cs="Times New Roman"/>
                <w:b/>
                <w:bCs/>
                <w:i/>
                <w:iCs/>
                <w:color w:val="FF0000"/>
                <w:kern w:val="24"/>
                <w:sz w:val="20"/>
                <w:szCs w:val="36"/>
                <w:lang w:eastAsia="fr-FR"/>
              </w:rPr>
              <w:t>Durée dans la situation</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70F11A" w14:textId="77777777" w:rsidR="00A40A8A" w:rsidRPr="00A40A8A" w:rsidRDefault="00A40A8A" w:rsidP="00A40A8A">
            <w:pPr>
              <w:kinsoku w:val="0"/>
              <w:overflowPunct w:val="0"/>
              <w:ind w:firstLine="14"/>
              <w:jc w:val="center"/>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Décision déraisonnable</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DE5D70" w14:textId="77777777" w:rsidR="00A40A8A" w:rsidRPr="00A40A8A" w:rsidRDefault="00A40A8A" w:rsidP="00A40A8A">
            <w:pPr>
              <w:kinsoku w:val="0"/>
              <w:overflowPunct w:val="0"/>
              <w:jc w:val="center"/>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Déchéance</w:t>
            </w:r>
          </w:p>
          <w:p w14:paraId="10B3A094" w14:textId="77777777" w:rsidR="00A40A8A" w:rsidRPr="00A40A8A" w:rsidRDefault="00A40A8A" w:rsidP="00A40A8A">
            <w:pPr>
              <w:kinsoku w:val="0"/>
              <w:overflowPunct w:val="0"/>
              <w:jc w:val="center"/>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sociale</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24103A" w14:textId="77777777" w:rsidR="00A40A8A" w:rsidRPr="00A40A8A" w:rsidRDefault="00A40A8A" w:rsidP="00A40A8A">
            <w:pPr>
              <w:kinsoku w:val="0"/>
              <w:overflowPunct w:val="0"/>
              <w:jc w:val="center"/>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Migrations infra ou internationales</w:t>
            </w:r>
          </w:p>
        </w:tc>
      </w:tr>
      <w:tr w:rsidR="00A40A8A" w:rsidRPr="00A40A8A" w14:paraId="3885821D" w14:textId="77777777" w:rsidTr="00A40A8A">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4906AF" w14:textId="77777777" w:rsidR="00A40A8A" w:rsidRPr="00A40A8A" w:rsidRDefault="00A40A8A" w:rsidP="00A40A8A">
            <w:pPr>
              <w:kinsoku w:val="0"/>
              <w:overflowPunct w:val="0"/>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Ponctuelle/Accidentelle</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925A5E"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Fugues</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A1861D"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 xml:space="preserve">Obligations de quitter son logement </w:t>
            </w:r>
          </w:p>
          <w:p w14:paraId="33A2E8B1"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(expulsion, accident)</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C5A632"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Obligation de trouver du nouveau / tourisme</w:t>
            </w:r>
          </w:p>
        </w:tc>
      </w:tr>
      <w:tr w:rsidR="00A40A8A" w:rsidRPr="00A40A8A" w14:paraId="7B518ECD" w14:textId="77777777" w:rsidTr="00A40A8A">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DD63FB" w14:textId="77777777" w:rsidR="00A40A8A" w:rsidRPr="00A40A8A" w:rsidRDefault="00A40A8A" w:rsidP="00A40A8A">
            <w:pPr>
              <w:kinsoku w:val="0"/>
              <w:overflowPunct w:val="0"/>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 xml:space="preserve">Chronique/ Récurrente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517F07"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 xml:space="preserve">Fugues récidivées </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8330A6"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Mal-logement</w:t>
            </w:r>
          </w:p>
          <w:p w14:paraId="7CEE0294"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mal pris en charge</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E5E366"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Migrations pendulaires</w:t>
            </w:r>
          </w:p>
        </w:tc>
      </w:tr>
      <w:tr w:rsidR="00A40A8A" w:rsidRPr="00A40A8A" w14:paraId="692C83D6" w14:textId="77777777" w:rsidTr="00A40A8A">
        <w:tc>
          <w:tcPr>
            <w:tcW w:w="142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E04B02" w14:textId="77777777" w:rsidR="00A40A8A" w:rsidRPr="00A40A8A" w:rsidRDefault="00A40A8A" w:rsidP="00A40A8A">
            <w:pPr>
              <w:kinsoku w:val="0"/>
              <w:overflowPunct w:val="0"/>
              <w:textAlignment w:val="baseline"/>
              <w:rPr>
                <w:rFonts w:ascii="Arial" w:hAnsi="Arial" w:cs="Arial"/>
                <w:sz w:val="20"/>
                <w:szCs w:val="36"/>
                <w:lang w:eastAsia="fr-FR"/>
              </w:rPr>
            </w:pPr>
            <w:r w:rsidRPr="00A40A8A">
              <w:rPr>
                <w:rFonts w:ascii="Arial" w:eastAsia="ＭＳ Ｐゴシック" w:hAnsi="Arial" w:cs="Times New Roman"/>
                <w:b/>
                <w:bCs/>
                <w:color w:val="000000" w:themeColor="text1"/>
                <w:kern w:val="24"/>
                <w:sz w:val="20"/>
                <w:szCs w:val="36"/>
                <w:lang w:eastAsia="fr-FR"/>
              </w:rPr>
              <w:t>Permanente</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AA3B01"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Errance valorisée</w:t>
            </w:r>
          </w:p>
          <w:p w14:paraId="2AA686CF"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 xml:space="preserve"> (Jeunes marginaux / </w:t>
            </w:r>
            <w:proofErr w:type="spellStart"/>
            <w:r w:rsidRPr="00A40A8A">
              <w:rPr>
                <w:rFonts w:ascii="Arial" w:eastAsia="ＭＳ Ｐゴシック" w:hAnsi="Arial" w:cs="ＭＳ Ｐゴシック"/>
                <w:color w:val="000000" w:themeColor="text1"/>
                <w:kern w:val="24"/>
                <w:sz w:val="20"/>
                <w:szCs w:val="36"/>
                <w:lang w:eastAsia="fr-FR"/>
              </w:rPr>
              <w:t>Travellers</w:t>
            </w:r>
            <w:proofErr w:type="spellEnd"/>
            <w:r w:rsidRPr="00A40A8A">
              <w:rPr>
                <w:rFonts w:ascii="Arial" w:eastAsia="ＭＳ Ｐゴシック" w:hAnsi="Arial" w:cs="ＭＳ Ｐゴシック"/>
                <w:color w:val="000000" w:themeColor="text1"/>
                <w:kern w:val="24"/>
                <w:sz w:val="20"/>
                <w:szCs w:val="36"/>
                <w:lang w:eastAsia="fr-FR"/>
              </w:rPr>
              <w:t>)</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8E7DE7"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proofErr w:type="spellStart"/>
            <w:r w:rsidRPr="00A40A8A">
              <w:rPr>
                <w:rFonts w:ascii="Arial" w:eastAsia="ＭＳ Ｐゴシック" w:hAnsi="Arial" w:cs="ＭＳ Ｐゴシック"/>
                <w:color w:val="000000" w:themeColor="text1"/>
                <w:kern w:val="24"/>
                <w:sz w:val="20"/>
                <w:szCs w:val="36"/>
                <w:lang w:eastAsia="fr-FR"/>
              </w:rPr>
              <w:t>Sans-abrisme</w:t>
            </w:r>
            <w:proofErr w:type="spellEnd"/>
            <w:r w:rsidRPr="00A40A8A">
              <w:rPr>
                <w:rFonts w:ascii="Arial" w:eastAsia="ＭＳ Ｐゴシック" w:hAnsi="Arial" w:cs="ＭＳ Ｐゴシック"/>
                <w:color w:val="000000" w:themeColor="text1"/>
                <w:kern w:val="24"/>
                <w:sz w:val="20"/>
                <w:szCs w:val="36"/>
                <w:lang w:eastAsia="fr-FR"/>
              </w:rPr>
              <w:t xml:space="preserve"> de longue durée</w:t>
            </w:r>
          </w:p>
        </w:tc>
        <w:tc>
          <w:tcPr>
            <w:tcW w:w="11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80E46D"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Réfugiés</w:t>
            </w:r>
          </w:p>
          <w:p w14:paraId="05C81DD1" w14:textId="77777777" w:rsidR="00A40A8A" w:rsidRPr="00A40A8A" w:rsidRDefault="00A40A8A" w:rsidP="00A40A8A">
            <w:pPr>
              <w:kinsoku w:val="0"/>
              <w:overflowPunct w:val="0"/>
              <w:spacing w:before="86"/>
              <w:jc w:val="center"/>
              <w:textAlignment w:val="baseline"/>
              <w:rPr>
                <w:rFonts w:ascii="Arial" w:hAnsi="Arial" w:cs="Arial"/>
                <w:sz w:val="20"/>
                <w:szCs w:val="36"/>
                <w:lang w:eastAsia="fr-FR"/>
              </w:rPr>
            </w:pPr>
            <w:r w:rsidRPr="00A40A8A">
              <w:rPr>
                <w:rFonts w:ascii="Arial" w:eastAsia="ＭＳ Ｐゴシック" w:hAnsi="Arial" w:cs="ＭＳ Ｐゴシック"/>
                <w:color w:val="000000" w:themeColor="text1"/>
                <w:kern w:val="24"/>
                <w:sz w:val="20"/>
                <w:szCs w:val="36"/>
                <w:lang w:eastAsia="fr-FR"/>
              </w:rPr>
              <w:t>Immigrés sociaux</w:t>
            </w:r>
          </w:p>
        </w:tc>
      </w:tr>
    </w:tbl>
    <w:p w14:paraId="21D364BF" w14:textId="77777777" w:rsidR="00A40A8A" w:rsidRDefault="00A40A8A">
      <w:pPr>
        <w:rPr>
          <w:rFonts w:ascii="Times New Roman" w:eastAsiaTheme="majorEastAsia" w:hAnsi="Times New Roman" w:cs="Times New Roman"/>
          <w:b/>
          <w:bCs/>
          <w:color w:val="000000" w:themeColor="text1"/>
          <w:sz w:val="32"/>
          <w:szCs w:val="32"/>
        </w:rPr>
      </w:pPr>
    </w:p>
    <w:p w14:paraId="6BCA8953" w14:textId="6CC962C2" w:rsidR="00A40A8A" w:rsidRDefault="00A40A8A">
      <w:pPr>
        <w:rPr>
          <w:rFonts w:ascii="Times New Roman" w:eastAsiaTheme="majorEastAsia" w:hAnsi="Times New Roman" w:cs="Times New Roman"/>
          <w:b/>
          <w:bCs/>
          <w:color w:val="000000" w:themeColor="text1"/>
          <w:szCs w:val="32"/>
        </w:rPr>
      </w:pPr>
      <w:r w:rsidRPr="00A40A8A">
        <w:rPr>
          <w:rFonts w:ascii="Times New Roman" w:eastAsiaTheme="majorEastAsia" w:hAnsi="Times New Roman" w:cs="Times New Roman"/>
          <w:b/>
          <w:bCs/>
          <w:color w:val="000000" w:themeColor="text1"/>
          <w:szCs w:val="32"/>
        </w:rPr>
        <w:t>Une grille (FEANTSA)</w:t>
      </w:r>
    </w:p>
    <w:tbl>
      <w:tblPr>
        <w:tblW w:w="9720" w:type="dxa"/>
        <w:tblCellMar>
          <w:left w:w="0" w:type="dxa"/>
          <w:right w:w="0" w:type="dxa"/>
        </w:tblCellMar>
        <w:tblLook w:val="0600" w:firstRow="0" w:lastRow="0" w:firstColumn="0" w:lastColumn="0" w:noHBand="1" w:noVBand="1"/>
      </w:tblPr>
      <w:tblGrid>
        <w:gridCol w:w="1937"/>
        <w:gridCol w:w="599"/>
        <w:gridCol w:w="2615"/>
        <w:gridCol w:w="879"/>
        <w:gridCol w:w="3690"/>
      </w:tblGrid>
      <w:tr w:rsidR="00A40A8A" w:rsidRPr="00A40A8A" w14:paraId="1DBDBD10" w14:textId="77777777" w:rsidTr="00A40A8A">
        <w:tc>
          <w:tcPr>
            <w:tcW w:w="19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DD429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Catégorie conceptuelle</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50D354"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81EFF"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Catégorie opérationnelle</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5A028A"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20432D"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Définition générique</w:t>
            </w:r>
          </w:p>
        </w:tc>
      </w:tr>
      <w:tr w:rsidR="00A40A8A" w:rsidRPr="00A40A8A" w14:paraId="446C3CAD" w14:textId="77777777" w:rsidTr="00A40A8A">
        <w:tc>
          <w:tcPr>
            <w:tcW w:w="19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0ACCA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SANS-ABRI</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5910B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2CFE4"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vivant dans la rue</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4E130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1.1</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3CCC0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Dormir dans la rue (pas d’accès à un hébergement d’urgence) / Sans abri</w:t>
            </w:r>
          </w:p>
        </w:tc>
      </w:tr>
      <w:tr w:rsidR="00A40A8A" w:rsidRPr="00A40A8A" w14:paraId="46AF1EE4"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6096BD"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8374A1"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2</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DFF2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Personnes  en hébergement d’urgence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D283FD"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2.1</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1E4E5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Hébergement d’urgence</w:t>
            </w:r>
          </w:p>
        </w:tc>
      </w:tr>
      <w:tr w:rsidR="00A40A8A" w:rsidRPr="00A40A8A" w14:paraId="2E5B7884" w14:textId="77777777" w:rsidTr="00A40A8A">
        <w:tc>
          <w:tcPr>
            <w:tcW w:w="19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40E3C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SANS LOGEMENT</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6EFFB1"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3</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53FE33"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Personnes en foyer d’hébergement pour personnes sans domicile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4B964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3.1</w:t>
            </w:r>
          </w:p>
          <w:p w14:paraId="3BD14B5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3.2</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44CC4E"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Foyer d’hébergement d’insertion</w:t>
            </w:r>
          </w:p>
          <w:p w14:paraId="555EBBE7"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provisoire</w:t>
            </w:r>
          </w:p>
        </w:tc>
      </w:tr>
      <w:tr w:rsidR="00A40A8A" w:rsidRPr="00A40A8A" w14:paraId="633D95CC"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2B3381"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637D4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4</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CA0D71"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en foyer d’hébergement pour femmes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72A38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4.1</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F87F7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Foyer d’hébergement destiné aux femmes</w:t>
            </w:r>
          </w:p>
        </w:tc>
      </w:tr>
      <w:tr w:rsidR="00A40A8A" w:rsidRPr="00A40A8A" w14:paraId="6648007F"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A89018"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ACD284"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5</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14FE1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en hébergement pour immigrés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63FCF1"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5.1</w:t>
            </w:r>
          </w:p>
          <w:p w14:paraId="7CEB5B8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5.2</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2329CD"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provisoire /centre d’accueil des demandeurs d’asile</w:t>
            </w:r>
          </w:p>
          <w:p w14:paraId="1C077CB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Foyer pour travailleurs migrants</w:t>
            </w:r>
          </w:p>
        </w:tc>
      </w:tr>
      <w:tr w:rsidR="00A40A8A" w:rsidRPr="00A40A8A" w14:paraId="2F9FC1AC"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47F2AF"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3608A7"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6</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F6C9DA"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sortant d’institutions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AB293"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6.1</w:t>
            </w:r>
          </w:p>
          <w:p w14:paraId="0A9166FB"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6.2</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2859CB"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Institution pénale</w:t>
            </w:r>
          </w:p>
          <w:p w14:paraId="3209737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Institution médicale</w:t>
            </w:r>
          </w:p>
        </w:tc>
      </w:tr>
      <w:tr w:rsidR="00A40A8A" w:rsidRPr="00A40A8A" w14:paraId="56662B21"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D5BFB9"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28E6B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7</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26B68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Bénéficiaires d'un accompagnement au logement </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35CCB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7.1</w:t>
            </w:r>
          </w:p>
          <w:p w14:paraId="3BFB3045"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7.2</w:t>
            </w:r>
          </w:p>
          <w:p w14:paraId="2E779751"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7.3</w:t>
            </w:r>
          </w:p>
          <w:p w14:paraId="3CF4C68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7.4</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703907"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Foyer d’hébergement médicalisé destiné aux personnes sans domicile</w:t>
            </w:r>
          </w:p>
          <w:p w14:paraId="0D48862E"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accompagné</w:t>
            </w:r>
          </w:p>
          <w:p w14:paraId="325054E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de transition avec accompagnement</w:t>
            </w:r>
          </w:p>
          <w:p w14:paraId="4ED4D7C3"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ordinaire assorti d’un accompagnement</w:t>
            </w:r>
          </w:p>
        </w:tc>
      </w:tr>
      <w:tr w:rsidR="00A40A8A" w:rsidRPr="00A40A8A" w14:paraId="325905BE" w14:textId="77777777" w:rsidTr="00A40A8A">
        <w:tc>
          <w:tcPr>
            <w:tcW w:w="19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91824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PRECAIRE</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3FD035"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8</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23691B"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en habitat précaire</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84015B"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8.1</w:t>
            </w:r>
          </w:p>
          <w:p w14:paraId="0034E404"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8.2</w:t>
            </w:r>
          </w:p>
          <w:p w14:paraId="081C2CC5"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8.3</w:t>
            </w:r>
          </w:p>
          <w:p w14:paraId="3BEE47B4"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8.4</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186D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Provisoirement hébergé par la famille ou par des amis</w:t>
            </w:r>
          </w:p>
          <w:p w14:paraId="4FDEDB71"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Sans bail de (sous-)location</w:t>
            </w:r>
          </w:p>
          <w:p w14:paraId="3395692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Occupation illégale d’un bâtiment</w:t>
            </w:r>
          </w:p>
          <w:p w14:paraId="05EEB9C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Occupation illégale d’un terrain </w:t>
            </w:r>
          </w:p>
        </w:tc>
      </w:tr>
      <w:tr w:rsidR="00A40A8A" w:rsidRPr="00A40A8A" w14:paraId="1C667503"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3E21B1"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9F4AB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9</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01DF9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menacées d’expulsion</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EA810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9.1</w:t>
            </w:r>
          </w:p>
          <w:p w14:paraId="11651B80"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9.2</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DCC04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Application d’une décision d’expulsion (location)</w:t>
            </w:r>
          </w:p>
          <w:p w14:paraId="25C89E1D"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Avis de saisie (propriété)</w:t>
            </w:r>
          </w:p>
        </w:tc>
      </w:tr>
      <w:tr w:rsidR="00A40A8A" w:rsidRPr="00A40A8A" w14:paraId="0943A0B8"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A3A997"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ADD3D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10</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A555C6"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menacées de violences domestiques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D83EE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10.1</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F22A0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Incidents enregistrés par la police </w:t>
            </w:r>
            <w:proofErr w:type="gramStart"/>
            <w:r w:rsidRPr="00A40A8A">
              <w:rPr>
                <w:rFonts w:ascii="Times New Roman" w:eastAsiaTheme="majorEastAsia" w:hAnsi="Times New Roman" w:cs="Times New Roman"/>
                <w:b/>
                <w:bCs/>
                <w:color w:val="000000" w:themeColor="text1"/>
                <w:sz w:val="16"/>
                <w:szCs w:val="32"/>
              </w:rPr>
              <w:t>lié</w:t>
            </w:r>
            <w:proofErr w:type="gramEnd"/>
            <w:r w:rsidRPr="00A40A8A">
              <w:rPr>
                <w:rFonts w:ascii="Times New Roman" w:eastAsiaTheme="majorEastAsia" w:hAnsi="Times New Roman" w:cs="Times New Roman"/>
                <w:b/>
                <w:bCs/>
                <w:color w:val="000000" w:themeColor="text1"/>
                <w:sz w:val="16"/>
                <w:szCs w:val="32"/>
              </w:rPr>
              <w:t xml:space="preserve"> à des violences domestiques </w:t>
            </w:r>
          </w:p>
        </w:tc>
      </w:tr>
      <w:tr w:rsidR="00A40A8A" w:rsidRPr="00A40A8A" w14:paraId="186FDA17" w14:textId="77777777" w:rsidTr="00A40A8A">
        <w:tc>
          <w:tcPr>
            <w:tcW w:w="194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7979A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LOGEMENT INADEQUAT</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3CC81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11</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5250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vivant dans des structures provisoires et non conformes aux normes</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FB368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11.1</w:t>
            </w:r>
          </w:p>
          <w:p w14:paraId="5266FF34"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11.2</w:t>
            </w:r>
          </w:p>
          <w:p w14:paraId="54594FE5"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11.3</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5AF483"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Habitation mobile/ caravane </w:t>
            </w:r>
          </w:p>
          <w:p w14:paraId="196303C8"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Bâtiment non conforme aux normes</w:t>
            </w:r>
          </w:p>
          <w:p w14:paraId="0694E05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Habitat provisoire</w:t>
            </w:r>
          </w:p>
        </w:tc>
      </w:tr>
      <w:tr w:rsidR="00A40A8A" w:rsidRPr="00A40A8A" w14:paraId="2D5189DC"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0E6A14"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08488F"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12</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D47C7D"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en logement indigne</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B8A42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12.1</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7F00E2"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 xml:space="preserve">Habitation (occupée) déclarée inhabitable conformément à la législation nationale </w:t>
            </w:r>
          </w:p>
        </w:tc>
      </w:tr>
      <w:tr w:rsidR="00A40A8A" w:rsidRPr="00A40A8A" w14:paraId="6B9D2FCA" w14:textId="77777777" w:rsidTr="00A40A8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2299C2" w14:textId="77777777" w:rsidR="00A40A8A" w:rsidRPr="00A40A8A" w:rsidRDefault="00A40A8A" w:rsidP="00A40A8A">
            <w:pPr>
              <w:rPr>
                <w:rFonts w:ascii="Times New Roman" w:eastAsiaTheme="majorEastAsia" w:hAnsi="Times New Roman" w:cs="Times New Roman"/>
                <w:b/>
                <w:bCs/>
                <w:color w:val="000000" w:themeColor="text1"/>
                <w:sz w:val="16"/>
                <w:szCs w:val="32"/>
              </w:rPr>
            </w:pP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718357"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13</w:t>
            </w:r>
          </w:p>
        </w:tc>
        <w:tc>
          <w:tcPr>
            <w:tcW w:w="26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C86E9C"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Personnes vivant dans conditions de surpeuplement sévère</w:t>
            </w:r>
          </w:p>
        </w:tc>
        <w:tc>
          <w:tcPr>
            <w:tcW w:w="8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480D85"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13.1</w:t>
            </w:r>
          </w:p>
        </w:tc>
        <w:tc>
          <w:tcPr>
            <w:tcW w:w="3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3B7FA9" w14:textId="77777777" w:rsidR="00A40A8A" w:rsidRPr="00A40A8A" w:rsidRDefault="00A40A8A" w:rsidP="00A40A8A">
            <w:pPr>
              <w:rPr>
                <w:rFonts w:ascii="Times New Roman" w:eastAsiaTheme="majorEastAsia" w:hAnsi="Times New Roman" w:cs="Times New Roman"/>
                <w:b/>
                <w:bCs/>
                <w:color w:val="000000" w:themeColor="text1"/>
                <w:sz w:val="16"/>
                <w:szCs w:val="32"/>
              </w:rPr>
            </w:pPr>
            <w:r w:rsidRPr="00A40A8A">
              <w:rPr>
                <w:rFonts w:ascii="Times New Roman" w:eastAsiaTheme="majorEastAsia" w:hAnsi="Times New Roman" w:cs="Times New Roman"/>
                <w:b/>
                <w:bCs/>
                <w:color w:val="000000" w:themeColor="text1"/>
                <w:sz w:val="16"/>
                <w:szCs w:val="32"/>
              </w:rPr>
              <w:t>Norme nationale de surpeuplement la plus élevée</w:t>
            </w:r>
          </w:p>
        </w:tc>
      </w:tr>
    </w:tbl>
    <w:p w14:paraId="207CCFE1" w14:textId="1BD4F805" w:rsidR="00A40A8A" w:rsidRDefault="00A40A8A">
      <w:pPr>
        <w:rPr>
          <w:rFonts w:ascii="Times New Roman" w:eastAsiaTheme="majorEastAsia" w:hAnsi="Times New Roman" w:cs="Times New Roman"/>
          <w:b/>
          <w:bCs/>
          <w:color w:val="000000" w:themeColor="text1"/>
          <w:szCs w:val="32"/>
        </w:rPr>
      </w:pPr>
    </w:p>
    <w:p w14:paraId="6CBC2BF3" w14:textId="44E1C2E9" w:rsidR="00A40A8A" w:rsidRPr="00700B4E" w:rsidRDefault="00A40A8A" w:rsidP="00A40A8A">
      <w:pPr>
        <w:pStyle w:val="TITRE1BIEN"/>
        <w:rPr>
          <w:sz w:val="32"/>
        </w:rPr>
      </w:pPr>
      <w:r>
        <w:rPr>
          <w:rFonts w:eastAsiaTheme="majorEastAsia"/>
          <w:b w:val="0"/>
          <w:bCs w:val="0"/>
          <w:color w:val="000000" w:themeColor="text1"/>
          <w:szCs w:val="32"/>
        </w:rPr>
        <w:br w:type="page"/>
      </w:r>
      <w:bookmarkStart w:id="5" w:name="_Toc269846253"/>
      <w:r>
        <w:rPr>
          <w:sz w:val="32"/>
        </w:rPr>
        <w:t>Le défi des décomptes</w:t>
      </w:r>
      <w:bookmarkEnd w:id="5"/>
    </w:p>
    <w:p w14:paraId="543B8E23" w14:textId="77777777" w:rsidR="00A40A8A" w:rsidRDefault="00A40A8A">
      <w:pPr>
        <w:rPr>
          <w:rFonts w:ascii="Times New Roman" w:eastAsiaTheme="majorEastAsia" w:hAnsi="Times New Roman" w:cs="Times New Roman"/>
          <w:b/>
          <w:bCs/>
          <w:color w:val="000000" w:themeColor="text1"/>
          <w:szCs w:val="32"/>
        </w:rPr>
      </w:pPr>
    </w:p>
    <w:p w14:paraId="33FE1BED" w14:textId="77777777" w:rsidR="00A40A8A" w:rsidRDefault="00A40A8A" w:rsidP="00A40A8A"/>
    <w:p w14:paraId="3682236C" w14:textId="77777777" w:rsidR="00A40A8A" w:rsidRDefault="00A40A8A" w:rsidP="00A40A8A">
      <w:pPr>
        <w:jc w:val="both"/>
        <w:rPr>
          <w:sz w:val="20"/>
          <w:szCs w:val="20"/>
        </w:rPr>
      </w:pPr>
      <w:r w:rsidRPr="00A40A8A">
        <w:rPr>
          <w:sz w:val="20"/>
          <w:szCs w:val="20"/>
        </w:rPr>
        <w:t xml:space="preserve">L’INSEE a publié en 2013 les premiers résultats de sa seconde grande enquête, en une dizaine d’années, sur </w:t>
      </w:r>
      <w:proofErr w:type="gramStart"/>
      <w:r w:rsidRPr="00A40A8A">
        <w:rPr>
          <w:sz w:val="20"/>
          <w:szCs w:val="20"/>
        </w:rPr>
        <w:t>les sans-domicile</w:t>
      </w:r>
      <w:proofErr w:type="gramEnd"/>
      <w:r w:rsidRPr="00A40A8A">
        <w:rPr>
          <w:sz w:val="20"/>
          <w:szCs w:val="20"/>
        </w:rPr>
        <w:t>. L’institut compte 141 500 personnes sans-domicile (soit une augmentation de près de 50 % en dix ans).  Pour ces enquêtes, une personne est dite sans-domicile si elle a passé la nuit dans un lieu non prévu pour l’habitation (on parle alors de sans-abri), ou bien si elle a passé la nuit dans un service d’hébergement pour sans-domicile.</w:t>
      </w:r>
    </w:p>
    <w:p w14:paraId="3FEA8DAE" w14:textId="77777777" w:rsidR="00A40A8A" w:rsidRPr="00A40A8A" w:rsidRDefault="00A40A8A" w:rsidP="00A40A8A">
      <w:pPr>
        <w:jc w:val="both"/>
        <w:rPr>
          <w:sz w:val="20"/>
          <w:szCs w:val="20"/>
        </w:rPr>
      </w:pPr>
    </w:p>
    <w:p w14:paraId="3995B549" w14:textId="77777777" w:rsidR="00A40A8A" w:rsidRPr="00A40A8A" w:rsidRDefault="00A40A8A" w:rsidP="00A40A8A">
      <w:pPr>
        <w:jc w:val="both"/>
        <w:rPr>
          <w:b/>
          <w:sz w:val="20"/>
          <w:szCs w:val="20"/>
        </w:rPr>
      </w:pPr>
      <w:r w:rsidRPr="00A40A8A">
        <w:rPr>
          <w:b/>
          <w:sz w:val="20"/>
          <w:szCs w:val="20"/>
        </w:rPr>
        <w:t xml:space="preserve"> Une augmentation sensible du nombre de sans domicile.</w:t>
      </w:r>
    </w:p>
    <w:p w14:paraId="3F587D33" w14:textId="77777777" w:rsidR="00A40A8A" w:rsidRPr="00A40A8A" w:rsidRDefault="00A40A8A" w:rsidP="00A40A8A">
      <w:pPr>
        <w:jc w:val="both"/>
        <w:rPr>
          <w:sz w:val="20"/>
          <w:szCs w:val="20"/>
        </w:rPr>
      </w:pPr>
      <w:r w:rsidRPr="00A40A8A">
        <w:rPr>
          <w:sz w:val="20"/>
          <w:szCs w:val="20"/>
        </w:rPr>
        <w:t xml:space="preserve">Pour le mois de janvier 2001, l’INSEE dénombrait, en effet, 86 500 </w:t>
      </w:r>
      <w:proofErr w:type="gramStart"/>
      <w:r w:rsidRPr="00A40A8A">
        <w:rPr>
          <w:sz w:val="20"/>
          <w:szCs w:val="20"/>
        </w:rPr>
        <w:t>sans-domicile</w:t>
      </w:r>
      <w:proofErr w:type="gramEnd"/>
      <w:r w:rsidRPr="00A40A8A">
        <w:rPr>
          <w:sz w:val="20"/>
          <w:szCs w:val="20"/>
        </w:rPr>
        <w:t xml:space="preserve"> (dont 16 000 enfants). En janvier 2011 l’INSEE avait communiqué le chiffre de 133 000 </w:t>
      </w:r>
      <w:proofErr w:type="gramStart"/>
      <w:r w:rsidRPr="00A40A8A">
        <w:rPr>
          <w:sz w:val="20"/>
          <w:szCs w:val="20"/>
        </w:rPr>
        <w:t>sans-domicile</w:t>
      </w:r>
      <w:proofErr w:type="gramEnd"/>
      <w:r w:rsidRPr="00A40A8A">
        <w:rPr>
          <w:sz w:val="20"/>
          <w:szCs w:val="20"/>
        </w:rPr>
        <w:t xml:space="preserve">, chiffre valable pour la deuxième partie des années 2000. Ce  chiffre a été ensuite repris par la Fondation abbé Pierre notamment dans son rapport 2013 sur l’état du mal-logement en France. </w:t>
      </w:r>
    </w:p>
    <w:p w14:paraId="40C7D289" w14:textId="77777777" w:rsidR="00A40A8A" w:rsidRPr="00A40A8A" w:rsidRDefault="00A40A8A" w:rsidP="00A40A8A">
      <w:pPr>
        <w:jc w:val="both"/>
        <w:rPr>
          <w:sz w:val="20"/>
          <w:szCs w:val="20"/>
        </w:rPr>
      </w:pPr>
      <w:r w:rsidRPr="00A40A8A">
        <w:rPr>
          <w:sz w:val="20"/>
          <w:szCs w:val="20"/>
        </w:rPr>
        <w:t xml:space="preserve">. Il faut bien distinguer la situation des personnes prises en charge (plus ou moins bien, plus ou moins complètement), et celle des personnes complètement sans-abri, c’est-à-dire à la rue. Ces dernières correspondent à l’image très visible que l’on a des SDF dans l’espace public. En 2001 comme en 2012, ces sans-abri représentent environ un dixième de la population </w:t>
      </w:r>
      <w:proofErr w:type="gramStart"/>
      <w:r w:rsidRPr="00A40A8A">
        <w:rPr>
          <w:sz w:val="20"/>
          <w:szCs w:val="20"/>
        </w:rPr>
        <w:t>des sans-domicile</w:t>
      </w:r>
      <w:proofErr w:type="gramEnd"/>
      <w:r w:rsidRPr="00A40A8A">
        <w:rPr>
          <w:sz w:val="20"/>
          <w:szCs w:val="20"/>
        </w:rPr>
        <w:t xml:space="preserve">. Il n’y a pas 100 000 sans-abri en France, en 2001 comme en 2012, mais quelques milliers en 2001, plus de 10 000 en 2012. </w:t>
      </w:r>
    </w:p>
    <w:p w14:paraId="4CE4B6C6" w14:textId="77777777" w:rsidR="00A40A8A" w:rsidRPr="00A40A8A" w:rsidRDefault="00A40A8A" w:rsidP="00A40A8A">
      <w:pPr>
        <w:jc w:val="both"/>
        <w:rPr>
          <w:sz w:val="20"/>
          <w:szCs w:val="20"/>
        </w:rPr>
      </w:pPr>
      <w:r w:rsidRPr="00A40A8A">
        <w:rPr>
          <w:sz w:val="20"/>
          <w:szCs w:val="20"/>
        </w:rPr>
        <w:t xml:space="preserve">La population sans-domicile comptée et analysée par l’INSEE comprend ainsi des sans-abri, mais aussi </w:t>
      </w:r>
      <w:proofErr w:type="gramStart"/>
      <w:r w:rsidRPr="00A40A8A">
        <w:rPr>
          <w:sz w:val="20"/>
          <w:szCs w:val="20"/>
        </w:rPr>
        <w:t>les autres sans-domicile</w:t>
      </w:r>
      <w:proofErr w:type="gramEnd"/>
      <w:r w:rsidRPr="00A40A8A">
        <w:rPr>
          <w:sz w:val="20"/>
          <w:szCs w:val="20"/>
        </w:rPr>
        <w:t xml:space="preserve"> qui, à défaut de l’hébergement ou du logement aidé qu’ils occupent, seraient sans-abri. On trouve ainsi 11 % </w:t>
      </w:r>
      <w:proofErr w:type="gramStart"/>
      <w:r w:rsidRPr="00A40A8A">
        <w:rPr>
          <w:sz w:val="20"/>
          <w:szCs w:val="20"/>
        </w:rPr>
        <w:t>des sans-domicile</w:t>
      </w:r>
      <w:proofErr w:type="gramEnd"/>
      <w:r w:rsidRPr="00A40A8A">
        <w:rPr>
          <w:sz w:val="20"/>
          <w:szCs w:val="20"/>
        </w:rPr>
        <w:t xml:space="preserve"> dans des centres d’hébergement où ils n’habitent pas habituellement (puisqu’ils doivent le quitter le matin). 12 % sont dans des hôtels payés par la collectivité. 33 % sont dans des logements (ce qui peut surprendre le lecteur). Il s’agit de personnes, et plus souvent d’ailleurs de ménages, qui occupent un logement en sous-location avec une association. Enfin, 35 % </w:t>
      </w:r>
      <w:proofErr w:type="gramStart"/>
      <w:r w:rsidRPr="00A40A8A">
        <w:rPr>
          <w:sz w:val="20"/>
          <w:szCs w:val="20"/>
        </w:rPr>
        <w:t>des sans-domicile</w:t>
      </w:r>
      <w:proofErr w:type="gramEnd"/>
      <w:r w:rsidRPr="00A40A8A">
        <w:rPr>
          <w:sz w:val="20"/>
          <w:szCs w:val="20"/>
        </w:rPr>
        <w:t xml:space="preserve">  résident dans des centres d’hébergement qu’ils peuvent pleinement habiter, en pouvant y rester la nuit et la journée. </w:t>
      </w:r>
    </w:p>
    <w:p w14:paraId="7D449E12" w14:textId="77777777" w:rsidR="00A40A8A" w:rsidRDefault="00A40A8A" w:rsidP="00A40A8A">
      <w:pPr>
        <w:jc w:val="both"/>
        <w:rPr>
          <w:sz w:val="20"/>
          <w:szCs w:val="20"/>
        </w:rPr>
      </w:pPr>
      <w:r w:rsidRPr="00A40A8A">
        <w:rPr>
          <w:sz w:val="20"/>
          <w:szCs w:val="20"/>
        </w:rPr>
        <w:t xml:space="preserve">Dans l’enquête de 2001, on observait qu’au cours du mois qui avait précédé l’enquête, la moitié des sans-domicile avaient été principalement accueillis dans des centres d’hébergement, 40 % dans des logements aidés et moins de 10 % avaient dormi principalement dans des lieux non prévus pour l’habitation (les sans-abri). </w:t>
      </w:r>
    </w:p>
    <w:p w14:paraId="244A339D" w14:textId="77777777" w:rsidR="00A40A8A" w:rsidRPr="00A40A8A" w:rsidRDefault="00A40A8A" w:rsidP="00A40A8A">
      <w:pPr>
        <w:jc w:val="both"/>
        <w:rPr>
          <w:sz w:val="20"/>
          <w:szCs w:val="20"/>
        </w:rPr>
      </w:pPr>
    </w:p>
    <w:p w14:paraId="4C711811" w14:textId="77777777" w:rsidR="00A40A8A" w:rsidRPr="00A40A8A" w:rsidRDefault="00A40A8A" w:rsidP="00A40A8A">
      <w:pPr>
        <w:jc w:val="both"/>
        <w:rPr>
          <w:b/>
          <w:sz w:val="20"/>
          <w:szCs w:val="20"/>
        </w:rPr>
      </w:pPr>
      <w:r w:rsidRPr="00A40A8A">
        <w:rPr>
          <w:b/>
          <w:sz w:val="20"/>
          <w:szCs w:val="20"/>
        </w:rPr>
        <w:t xml:space="preserve">Modes </w:t>
      </w:r>
      <w:proofErr w:type="gramStart"/>
      <w:r w:rsidRPr="00A40A8A">
        <w:rPr>
          <w:b/>
          <w:sz w:val="20"/>
          <w:szCs w:val="20"/>
        </w:rPr>
        <w:t xml:space="preserve">d'hébergement des sans-domicile début 2012 </w:t>
      </w:r>
      <w:proofErr w:type="gramEnd"/>
      <w:r w:rsidRPr="00A40A8A">
        <w:rPr>
          <w:b/>
          <w:sz w:val="20"/>
          <w:szCs w:val="20"/>
        </w:rPr>
        <w:t xml:space="preserve"> (en %)</w:t>
      </w:r>
    </w:p>
    <w:p w14:paraId="29B52403" w14:textId="77777777" w:rsidR="00A40A8A" w:rsidRPr="00A40A8A" w:rsidRDefault="00A40A8A" w:rsidP="00A40A8A">
      <w:pPr>
        <w:jc w:val="both"/>
        <w:rPr>
          <w:b/>
          <w:sz w:val="20"/>
          <w:szCs w:val="20"/>
        </w:rPr>
      </w:pPr>
      <w:r w:rsidRPr="00A40A8A">
        <w:rPr>
          <w:b/>
          <w:sz w:val="20"/>
          <w:szCs w:val="20"/>
        </w:rPr>
        <w:t xml:space="preserve"> </w:t>
      </w:r>
      <w:r w:rsidRPr="00A40A8A">
        <w:rPr>
          <w:noProof/>
          <w:sz w:val="20"/>
          <w:szCs w:val="20"/>
          <w:lang w:eastAsia="fr-FR"/>
        </w:rPr>
        <w:drawing>
          <wp:inline distT="0" distB="0" distL="0" distR="0" wp14:anchorId="35F40468" wp14:editId="6D59D814">
            <wp:extent cx="5756910" cy="2633980"/>
            <wp:effectExtent l="0" t="0" r="8890" b="762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3346C8" w14:textId="77777777" w:rsidR="00A40A8A" w:rsidRPr="00A40A8A" w:rsidRDefault="00A40A8A" w:rsidP="00A40A8A">
      <w:pPr>
        <w:jc w:val="both"/>
        <w:rPr>
          <w:b/>
          <w:sz w:val="20"/>
          <w:szCs w:val="20"/>
        </w:rPr>
      </w:pPr>
      <w:r w:rsidRPr="00A40A8A">
        <w:rPr>
          <w:b/>
          <w:sz w:val="20"/>
          <w:szCs w:val="20"/>
        </w:rPr>
        <w:t>Des données à interpréter avec précaution</w:t>
      </w:r>
    </w:p>
    <w:p w14:paraId="3B2F2945" w14:textId="77777777" w:rsidR="00A40A8A" w:rsidRPr="00A40A8A" w:rsidRDefault="00A40A8A" w:rsidP="00A40A8A">
      <w:pPr>
        <w:jc w:val="both"/>
        <w:rPr>
          <w:sz w:val="20"/>
          <w:szCs w:val="20"/>
        </w:rPr>
      </w:pPr>
      <w:r w:rsidRPr="00A40A8A">
        <w:rPr>
          <w:sz w:val="20"/>
          <w:szCs w:val="20"/>
        </w:rPr>
        <w:t xml:space="preserve">Ces enquêtes INSEE, bien au-delà des dénombrements (sur lesquels se focalise l’attention),  permettent également de comprendre la situation </w:t>
      </w:r>
      <w:proofErr w:type="gramStart"/>
      <w:r w:rsidRPr="00A40A8A">
        <w:rPr>
          <w:sz w:val="20"/>
          <w:szCs w:val="20"/>
        </w:rPr>
        <w:t>des sans-domicile</w:t>
      </w:r>
      <w:proofErr w:type="gramEnd"/>
      <w:r w:rsidRPr="00A40A8A">
        <w:rPr>
          <w:sz w:val="20"/>
          <w:szCs w:val="20"/>
        </w:rPr>
        <w:t xml:space="preserve">, en termes de logement, de structure familiale, de parcours, comme de droits sociaux. Or l’accent est trop souvent mis – les experts de l’INSEE le déplorent depuis longtemps – sur LE chiffre. </w:t>
      </w:r>
    </w:p>
    <w:p w14:paraId="1B4F01E7" w14:textId="77777777" w:rsidR="00A40A8A" w:rsidRPr="00A40A8A" w:rsidRDefault="00A40A8A" w:rsidP="00A40A8A">
      <w:pPr>
        <w:jc w:val="both"/>
        <w:rPr>
          <w:sz w:val="20"/>
          <w:szCs w:val="20"/>
        </w:rPr>
      </w:pPr>
      <w:r w:rsidRPr="00A40A8A">
        <w:rPr>
          <w:sz w:val="20"/>
          <w:szCs w:val="20"/>
        </w:rPr>
        <w:t xml:space="preserve">L’INSEE, parfaitement conscient du risque, publie un chiffre qui deviendra rapidement LE chiffre. Il correspond à une population dans des situations en réalité très variées, qui vont de ménages logés dans des logements « normaux » mais financés par les pouvoirs publics par l’intermédiaire des associations à des individus isolés qui vivent depuis plusieurs années à la rue. La densité des problèmes, les formes familiales, les parcours de ces personnes n’ont pas grand-chose à voir entre eux. Et LE chiffre va souvent être employé pour désigner le cas des seuls sans-abri, conférant à ce problème grave une intensité qu’il n’a pas. Or les chiffres 2012 montrent bien que parmi </w:t>
      </w:r>
      <w:proofErr w:type="gramStart"/>
      <w:r w:rsidRPr="00A40A8A">
        <w:rPr>
          <w:sz w:val="20"/>
          <w:szCs w:val="20"/>
        </w:rPr>
        <w:t>les sans-domicile</w:t>
      </w:r>
      <w:proofErr w:type="gramEnd"/>
      <w:r w:rsidRPr="00A40A8A">
        <w:rPr>
          <w:sz w:val="20"/>
          <w:szCs w:val="20"/>
        </w:rPr>
        <w:t xml:space="preserve">, les personnes effectivement sans-abri sont très minoritaires. </w:t>
      </w:r>
    </w:p>
    <w:p w14:paraId="4108B97C" w14:textId="77777777" w:rsidR="00A40A8A" w:rsidRPr="00A40A8A" w:rsidRDefault="00A40A8A" w:rsidP="00A40A8A">
      <w:pPr>
        <w:jc w:val="both"/>
        <w:rPr>
          <w:sz w:val="20"/>
          <w:szCs w:val="20"/>
        </w:rPr>
      </w:pPr>
      <w:r w:rsidRPr="00A40A8A">
        <w:rPr>
          <w:sz w:val="20"/>
          <w:szCs w:val="20"/>
        </w:rPr>
        <w:t xml:space="preserve">Une deuxième remarque a trait aux difficultés de l’exercice. Il est compliqué, pratiquement, éthiquement, politiquement, de dénombrer les sans-abri vivant complètement dans l’espace public. Aboutir à un chiffre trop faible conduit le secteur associatif à affirmer que les experts minimisent le problème. Aboutir à des chiffres trop élevés peut effrayer le décideur, contraint d’innover. Et le sujet est si compliqué qu’on  ne peut aboutir à une estimation indiscutable. Le sociologue américain Christopher </w:t>
      </w:r>
      <w:proofErr w:type="spellStart"/>
      <w:r w:rsidRPr="00A40A8A">
        <w:rPr>
          <w:sz w:val="20"/>
          <w:szCs w:val="20"/>
        </w:rPr>
        <w:t>Jencks</w:t>
      </w:r>
      <w:proofErr w:type="spellEnd"/>
      <w:r w:rsidRPr="00A40A8A">
        <w:rPr>
          <w:sz w:val="20"/>
          <w:szCs w:val="20"/>
        </w:rPr>
        <w:t xml:space="preserve"> a proposé une image simple. Il est difficile de trouver une aiguille dans une meule de foin. On le sait. Mais il est encore plus difficile, lorsque l’aiguille a été trouvée, de prouver qu’il n’y en a plus dans la meule. Il en va exactement de même pour les sans-abri dans la ville. </w:t>
      </w:r>
    </w:p>
    <w:p w14:paraId="4DAADAFC" w14:textId="77777777" w:rsidR="00A40A8A" w:rsidRDefault="00A40A8A" w:rsidP="00A40A8A">
      <w:pPr>
        <w:jc w:val="both"/>
        <w:rPr>
          <w:b/>
          <w:sz w:val="20"/>
          <w:szCs w:val="20"/>
        </w:rPr>
      </w:pPr>
    </w:p>
    <w:p w14:paraId="06C0973A" w14:textId="77777777" w:rsidR="00A40A8A" w:rsidRPr="00A40A8A" w:rsidRDefault="00A40A8A" w:rsidP="00A40A8A">
      <w:pPr>
        <w:jc w:val="both"/>
        <w:rPr>
          <w:b/>
          <w:sz w:val="20"/>
          <w:szCs w:val="20"/>
        </w:rPr>
      </w:pPr>
      <w:r w:rsidRPr="00A40A8A">
        <w:rPr>
          <w:b/>
          <w:sz w:val="20"/>
          <w:szCs w:val="20"/>
        </w:rPr>
        <w:t>Des données à territorialiser</w:t>
      </w:r>
    </w:p>
    <w:p w14:paraId="257642FF" w14:textId="77777777" w:rsidR="00A40A8A" w:rsidRPr="00A40A8A" w:rsidRDefault="00A40A8A" w:rsidP="00A40A8A">
      <w:pPr>
        <w:jc w:val="both"/>
        <w:rPr>
          <w:sz w:val="20"/>
          <w:szCs w:val="20"/>
        </w:rPr>
      </w:pPr>
      <w:r w:rsidRPr="00A40A8A">
        <w:rPr>
          <w:sz w:val="20"/>
          <w:szCs w:val="20"/>
        </w:rPr>
        <w:t>Une troisième remarque, toujours sur les chiffres, s’impose. La France jacobine, aime encore les chiffres nationaux. Or, en matière de sans-domicile, ou plus précisément de sans-abri le sujet est, en fait, très local. Il importe davantage de savoir combien de personnes sont dans cette situation dans chacune des différentes métropoles que à l’échelle nationale. C’est plus opératoire. Et d’autres méthodes de recensement, plus frustes, mais pouvant être répétées plus souvent devraient être développées.</w:t>
      </w:r>
    </w:p>
    <w:p w14:paraId="2E9FE44B" w14:textId="77777777" w:rsidR="00A40A8A" w:rsidRDefault="00A40A8A" w:rsidP="00A40A8A">
      <w:pPr>
        <w:jc w:val="both"/>
        <w:rPr>
          <w:b/>
          <w:sz w:val="20"/>
          <w:szCs w:val="20"/>
        </w:rPr>
      </w:pPr>
    </w:p>
    <w:p w14:paraId="44F4E995" w14:textId="77777777" w:rsidR="00A40A8A" w:rsidRPr="00A40A8A" w:rsidRDefault="00A40A8A" w:rsidP="00A40A8A">
      <w:pPr>
        <w:jc w:val="both"/>
        <w:rPr>
          <w:b/>
          <w:sz w:val="20"/>
          <w:szCs w:val="20"/>
        </w:rPr>
      </w:pPr>
      <w:r w:rsidRPr="00A40A8A">
        <w:rPr>
          <w:b/>
          <w:sz w:val="20"/>
          <w:szCs w:val="20"/>
        </w:rPr>
        <w:t>Développer la régulation et la prise en charge des migrants au niveau européen</w:t>
      </w:r>
    </w:p>
    <w:p w14:paraId="02B1D4C5" w14:textId="77777777" w:rsidR="00A40A8A" w:rsidRPr="00A40A8A" w:rsidRDefault="00A40A8A" w:rsidP="00A40A8A">
      <w:pPr>
        <w:jc w:val="both"/>
        <w:rPr>
          <w:sz w:val="20"/>
          <w:szCs w:val="20"/>
        </w:rPr>
      </w:pPr>
      <w:r w:rsidRPr="00A40A8A">
        <w:rPr>
          <w:sz w:val="20"/>
          <w:szCs w:val="20"/>
        </w:rPr>
        <w:t xml:space="preserve">Une quatrième remarque, sur les origines de l’augmentation, mérite d’être formulée. Les deux principaux moteurs de l’augmentation, pour la période qui va de 2001 à 2012, sont, d’une part, une croissance de l’offre de services (qui voient donc davantage de personnes passer par davantage de logements aidés et d’hébergements), et, d’autre part, l’immigration (notamment par demande d’asile). En effet, les étrangers sont, en 2012, majoritaires (53 %) parmi les sans-domicile (ils représentaient 38 % des sans-domicile en 2001). 45 % des sans-abri (complètement à la rue donc) et 73 % des sans-domicile accueillis à l’hôtel sont des étrangers francophones. Les exploitations ultérieures de l’enquête, avec les données sur les étrangers non-francophones, affineront ces proportions. Le sujet des sans-domicile, désormais pleinement relié à celui des demandeurs d’asile et des sans papiers, doit donc, comme les politiques migratoires, être traité  au niveau européen. C’est à cette échelle que peuvent se développer des politiques d’équilibrage et d’obligations entre les différents pays de l’Union.  La question </w:t>
      </w:r>
      <w:proofErr w:type="gramStart"/>
      <w:r w:rsidRPr="00A40A8A">
        <w:rPr>
          <w:sz w:val="20"/>
          <w:szCs w:val="20"/>
        </w:rPr>
        <w:t>des sans-domicile</w:t>
      </w:r>
      <w:proofErr w:type="gramEnd"/>
      <w:r w:rsidRPr="00A40A8A">
        <w:rPr>
          <w:sz w:val="20"/>
          <w:szCs w:val="20"/>
        </w:rPr>
        <w:t xml:space="preserve">  a toujours été  une question sociale doublée d’une question migratoire. Historiquement l’errance se déroulait et se gérait  sur des territoires locaux. Elle ne peut plus aujourd’hui être gérée aux échelles nationales, puisque la libre circulation est de règle à l’intérieur de l’espace Schengen. </w:t>
      </w:r>
    </w:p>
    <w:p w14:paraId="46E7A67B" w14:textId="77777777" w:rsidR="00A40A8A" w:rsidRPr="00A40A8A" w:rsidRDefault="00A40A8A" w:rsidP="00A40A8A">
      <w:pPr>
        <w:jc w:val="both"/>
        <w:rPr>
          <w:b/>
          <w:sz w:val="20"/>
          <w:szCs w:val="20"/>
        </w:rPr>
      </w:pPr>
    </w:p>
    <w:p w14:paraId="2207B651" w14:textId="77777777" w:rsidR="00A40A8A" w:rsidRPr="00A40A8A" w:rsidRDefault="00A40A8A" w:rsidP="00A40A8A">
      <w:pPr>
        <w:jc w:val="both"/>
        <w:rPr>
          <w:b/>
          <w:sz w:val="20"/>
          <w:szCs w:val="20"/>
        </w:rPr>
      </w:pPr>
      <w:r w:rsidRPr="00A40A8A">
        <w:rPr>
          <w:b/>
          <w:sz w:val="20"/>
          <w:szCs w:val="20"/>
        </w:rPr>
        <w:t>Une autre approche : qui a été sans-domicile ?</w:t>
      </w:r>
    </w:p>
    <w:p w14:paraId="5781A6C9" w14:textId="4416091B" w:rsidR="00A40A8A" w:rsidRPr="00A40A8A" w:rsidRDefault="00A40A8A" w:rsidP="00A40A8A">
      <w:pPr>
        <w:jc w:val="both"/>
        <w:rPr>
          <w:sz w:val="20"/>
          <w:szCs w:val="20"/>
        </w:rPr>
      </w:pPr>
      <w:r w:rsidRPr="00A40A8A">
        <w:rPr>
          <w:sz w:val="20"/>
          <w:szCs w:val="20"/>
        </w:rPr>
        <w:t xml:space="preserve">Plutôt que de chercher à savoir combien de personnes sont, un soir donné, sans-domicile, une autre option est de tenter de savoir combien de personnes, au cours de leur, vie ont été concernées. L’INSEE a également produit des chiffres, saisissant, en ce sens. Ainsi, en métropole, 2 500 000 personnes ayant en 2006 un logement personnel déclaraient en avoir été privées au moins une fois dans le passé : 78 % ont été hébergées par un tiers, 14 % dans un service d’hébergement, 11 % ont dormi dans un lieu non prévu pour l’habitation. Au total, donc 540 000 personnes ont connu la rue ou les services d’hébergement. Dit autrement, 1 % de la population en France déclare avoir connu une situation de sans-domicile. </w:t>
      </w:r>
    </w:p>
    <w:p w14:paraId="23E8546C" w14:textId="77777777" w:rsidR="00A40A8A" w:rsidRPr="00A40A8A" w:rsidRDefault="00A40A8A" w:rsidP="00A40A8A">
      <w:pPr>
        <w:jc w:val="both"/>
        <w:rPr>
          <w:b/>
          <w:sz w:val="20"/>
          <w:szCs w:val="20"/>
        </w:rPr>
      </w:pPr>
    </w:p>
    <w:p w14:paraId="22FB8030" w14:textId="77777777" w:rsidR="00A40A8A" w:rsidRPr="00A40A8A" w:rsidRDefault="00A40A8A" w:rsidP="00A40A8A">
      <w:pPr>
        <w:jc w:val="both"/>
        <w:rPr>
          <w:b/>
          <w:sz w:val="20"/>
          <w:szCs w:val="20"/>
        </w:rPr>
      </w:pPr>
      <w:r w:rsidRPr="00A40A8A">
        <w:rPr>
          <w:b/>
          <w:sz w:val="20"/>
          <w:szCs w:val="20"/>
        </w:rPr>
        <w:t>Bibliographie</w:t>
      </w:r>
    </w:p>
    <w:p w14:paraId="257179D2" w14:textId="77777777" w:rsidR="00A40A8A" w:rsidRPr="00A40A8A" w:rsidRDefault="00A40A8A" w:rsidP="00A40A8A">
      <w:pPr>
        <w:jc w:val="both"/>
        <w:rPr>
          <w:sz w:val="20"/>
          <w:szCs w:val="20"/>
        </w:rPr>
      </w:pPr>
      <w:r w:rsidRPr="00A40A8A">
        <w:rPr>
          <w:sz w:val="20"/>
          <w:szCs w:val="20"/>
        </w:rPr>
        <w:t xml:space="preserve">- « Une personne sur vingt s’est retrouvée sans logement personnel au cours de sa vie », </w:t>
      </w:r>
      <w:r w:rsidRPr="00A40A8A">
        <w:rPr>
          <w:i/>
          <w:sz w:val="20"/>
          <w:szCs w:val="20"/>
        </w:rPr>
        <w:t>INSEE Première</w:t>
      </w:r>
      <w:r w:rsidRPr="00A40A8A">
        <w:rPr>
          <w:sz w:val="20"/>
          <w:szCs w:val="20"/>
        </w:rPr>
        <w:t>, n° 1225, février 2009.</w:t>
      </w:r>
    </w:p>
    <w:p w14:paraId="0D5B329A" w14:textId="77777777" w:rsidR="00A40A8A" w:rsidRPr="00A40A8A" w:rsidRDefault="00A40A8A" w:rsidP="00A40A8A">
      <w:pPr>
        <w:jc w:val="both"/>
        <w:rPr>
          <w:sz w:val="20"/>
          <w:szCs w:val="20"/>
        </w:rPr>
      </w:pPr>
      <w:r w:rsidRPr="00A40A8A">
        <w:rPr>
          <w:sz w:val="20"/>
          <w:szCs w:val="20"/>
        </w:rPr>
        <w:t xml:space="preserve">- « L’hébergement des sans-domicile en 2012 », </w:t>
      </w:r>
      <w:r w:rsidRPr="00A40A8A">
        <w:rPr>
          <w:i/>
          <w:sz w:val="20"/>
          <w:szCs w:val="20"/>
        </w:rPr>
        <w:t>INSEE Première</w:t>
      </w:r>
      <w:r w:rsidRPr="00A40A8A">
        <w:rPr>
          <w:sz w:val="20"/>
          <w:szCs w:val="20"/>
        </w:rPr>
        <w:t>, n° 1455, juillet 2013.</w:t>
      </w:r>
    </w:p>
    <w:p w14:paraId="7EB0F218" w14:textId="77777777" w:rsidR="00A40A8A" w:rsidRPr="00A40A8A" w:rsidRDefault="00A40A8A" w:rsidP="00A40A8A">
      <w:pPr>
        <w:jc w:val="both"/>
        <w:rPr>
          <w:sz w:val="20"/>
          <w:szCs w:val="20"/>
        </w:rPr>
      </w:pPr>
      <w:r w:rsidRPr="00A40A8A">
        <w:rPr>
          <w:sz w:val="20"/>
          <w:szCs w:val="20"/>
        </w:rPr>
        <w:t xml:space="preserve">- Julien Damon, </w:t>
      </w:r>
      <w:r w:rsidRPr="00A40A8A">
        <w:rPr>
          <w:i/>
          <w:sz w:val="20"/>
          <w:szCs w:val="20"/>
        </w:rPr>
        <w:t>La Question SDF. Critique d’une action publique</w:t>
      </w:r>
      <w:r w:rsidRPr="00A40A8A">
        <w:rPr>
          <w:sz w:val="20"/>
          <w:szCs w:val="20"/>
        </w:rPr>
        <w:t xml:space="preserve">, Paris, PUF, 2012. </w:t>
      </w:r>
    </w:p>
    <w:p w14:paraId="65446CBE" w14:textId="77777777" w:rsidR="00A40A8A" w:rsidRPr="00A40A8A" w:rsidRDefault="00A40A8A" w:rsidP="00A40A8A">
      <w:pPr>
        <w:jc w:val="both"/>
        <w:rPr>
          <w:sz w:val="20"/>
          <w:szCs w:val="20"/>
          <w:lang w:val="en-US"/>
        </w:rPr>
      </w:pPr>
      <w:r w:rsidRPr="00A40A8A">
        <w:rPr>
          <w:sz w:val="20"/>
          <w:szCs w:val="20"/>
          <w:lang w:val="en-US"/>
        </w:rPr>
        <w:t xml:space="preserve">- Christopher Jencks, </w:t>
      </w:r>
      <w:r w:rsidRPr="00A40A8A">
        <w:rPr>
          <w:i/>
          <w:sz w:val="20"/>
          <w:szCs w:val="20"/>
          <w:lang w:val="en-US"/>
        </w:rPr>
        <w:t>The Homeless</w:t>
      </w:r>
      <w:r w:rsidRPr="00A40A8A">
        <w:rPr>
          <w:sz w:val="20"/>
          <w:szCs w:val="20"/>
          <w:lang w:val="en-US"/>
        </w:rPr>
        <w:t>, Harvard University Press, 1994.</w:t>
      </w:r>
    </w:p>
    <w:p w14:paraId="0D0C8FC4" w14:textId="77777777" w:rsidR="00A40A8A" w:rsidRPr="00A40A8A" w:rsidRDefault="00A40A8A" w:rsidP="00A40A8A">
      <w:pPr>
        <w:jc w:val="both"/>
        <w:rPr>
          <w:sz w:val="20"/>
          <w:szCs w:val="20"/>
        </w:rPr>
      </w:pPr>
      <w:r w:rsidRPr="00A40A8A">
        <w:rPr>
          <w:sz w:val="20"/>
          <w:szCs w:val="20"/>
        </w:rPr>
        <w:t xml:space="preserve">- Maryse </w:t>
      </w:r>
      <w:proofErr w:type="spellStart"/>
      <w:r w:rsidRPr="00A40A8A">
        <w:rPr>
          <w:sz w:val="20"/>
          <w:szCs w:val="20"/>
        </w:rPr>
        <w:t>Marpsat</w:t>
      </w:r>
      <w:proofErr w:type="spellEnd"/>
      <w:r w:rsidRPr="00A40A8A">
        <w:rPr>
          <w:sz w:val="20"/>
          <w:szCs w:val="20"/>
        </w:rPr>
        <w:t xml:space="preserve">, « L’enquête de l’Insee sur les sans-domicile : quelques éléments historiques », </w:t>
      </w:r>
      <w:r w:rsidRPr="00A40A8A">
        <w:rPr>
          <w:i/>
          <w:sz w:val="20"/>
          <w:szCs w:val="20"/>
        </w:rPr>
        <w:t>Courrier des statistiques</w:t>
      </w:r>
      <w:r w:rsidRPr="00A40A8A">
        <w:rPr>
          <w:sz w:val="20"/>
          <w:szCs w:val="20"/>
        </w:rPr>
        <w:t xml:space="preserve"> n° 123, janvier-avril 2008.</w:t>
      </w:r>
    </w:p>
    <w:p w14:paraId="4F34134B" w14:textId="5B75C816" w:rsidR="00370F15" w:rsidRDefault="00370F15">
      <w:pPr>
        <w:rPr>
          <w:rFonts w:ascii="Times New Roman" w:eastAsiaTheme="majorEastAsia" w:hAnsi="Times New Roman" w:cs="Times New Roman"/>
          <w:b/>
          <w:bCs/>
          <w:color w:val="000000" w:themeColor="text1"/>
          <w:szCs w:val="32"/>
        </w:rPr>
      </w:pPr>
      <w:r>
        <w:rPr>
          <w:rFonts w:ascii="Times New Roman" w:eastAsiaTheme="majorEastAsia" w:hAnsi="Times New Roman" w:cs="Times New Roman"/>
          <w:b/>
          <w:bCs/>
          <w:color w:val="000000" w:themeColor="text1"/>
          <w:szCs w:val="32"/>
        </w:rPr>
        <w:br w:type="page"/>
      </w:r>
    </w:p>
    <w:p w14:paraId="1C8CB797" w14:textId="0EFD3F06" w:rsidR="00370F15" w:rsidRPr="00700B4E" w:rsidRDefault="00370F15" w:rsidP="00370F15">
      <w:pPr>
        <w:pStyle w:val="TITRE1BIEN"/>
        <w:rPr>
          <w:sz w:val="32"/>
        </w:rPr>
      </w:pPr>
      <w:bookmarkStart w:id="6" w:name="_Toc269846254"/>
      <w:r>
        <w:rPr>
          <w:sz w:val="32"/>
        </w:rPr>
        <w:t>Les politiques publiques</w:t>
      </w:r>
      <w:bookmarkEnd w:id="6"/>
    </w:p>
    <w:p w14:paraId="5089D420" w14:textId="77777777" w:rsidR="00A40A8A" w:rsidRPr="00A40A8A" w:rsidRDefault="00A40A8A">
      <w:pPr>
        <w:rPr>
          <w:rFonts w:ascii="Times New Roman" w:eastAsiaTheme="majorEastAsia" w:hAnsi="Times New Roman" w:cs="Times New Roman"/>
          <w:b/>
          <w:bCs/>
          <w:color w:val="000000" w:themeColor="text1"/>
          <w:szCs w:val="32"/>
        </w:rPr>
      </w:pPr>
    </w:p>
    <w:bookmarkEnd w:id="0"/>
    <w:p w14:paraId="32E95666" w14:textId="77777777" w:rsidR="00370F15" w:rsidRDefault="00370F15">
      <w:r w:rsidRPr="00370F15">
        <w:t>Un radar pour se comparer</w:t>
      </w:r>
    </w:p>
    <w:p w14:paraId="1D1EB7A8" w14:textId="77777777" w:rsidR="00370F15" w:rsidRDefault="00370F15">
      <w:r>
        <w:rPr>
          <w:noProof/>
          <w:lang w:eastAsia="fr-FR"/>
        </w:rPr>
        <w:drawing>
          <wp:inline distT="0" distB="0" distL="0" distR="0" wp14:anchorId="25B13938" wp14:editId="744FC451">
            <wp:extent cx="5756910" cy="4240259"/>
            <wp:effectExtent l="0" t="0" r="889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240259"/>
                    </a:xfrm>
                    <a:prstGeom prst="rect">
                      <a:avLst/>
                    </a:prstGeom>
                    <a:noFill/>
                    <a:ln>
                      <a:noFill/>
                    </a:ln>
                    <a:effectLst/>
                    <a:extLst/>
                  </pic:spPr>
                </pic:pic>
              </a:graphicData>
            </a:graphic>
          </wp:inline>
        </w:drawing>
      </w:r>
    </w:p>
    <w:p w14:paraId="32487ED9" w14:textId="77777777" w:rsidR="00370F15" w:rsidRPr="00370F15" w:rsidRDefault="00370F15">
      <w:pPr>
        <w:rPr>
          <w:b/>
        </w:rPr>
      </w:pPr>
      <w:r w:rsidRPr="00370F15">
        <w:rPr>
          <w:b/>
        </w:rPr>
        <w:t>L’urbanisme coercitif</w:t>
      </w:r>
    </w:p>
    <w:p w14:paraId="2DDC1871" w14:textId="3A9B472F" w:rsidR="00A40A8A" w:rsidRPr="00370F15" w:rsidRDefault="00370F15">
      <w:pPr>
        <w:rPr>
          <w:rFonts w:ascii="Times New Roman" w:eastAsia="Times New Roman" w:hAnsi="Times New Roman" w:cs="Times New Roman"/>
          <w:b/>
          <w:bCs/>
          <w:iCs/>
          <w:szCs w:val="28"/>
          <w:lang w:eastAsia="fr-FR"/>
        </w:rPr>
      </w:pPr>
      <w:r w:rsidRPr="00370F15">
        <w:rPr>
          <w:noProof/>
          <w:lang w:eastAsia="fr-FR"/>
        </w:rPr>
        <w:drawing>
          <wp:inline distT="0" distB="0" distL="0" distR="0" wp14:anchorId="7206AC50" wp14:editId="050D7BE4">
            <wp:extent cx="2846065" cy="1942465"/>
            <wp:effectExtent l="0" t="0" r="0" b="0"/>
            <wp:docPr id="1269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2" name="Imag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946" cy="1943066"/>
                    </a:xfrm>
                    <a:prstGeom prst="rect">
                      <a:avLst/>
                    </a:prstGeom>
                    <a:noFill/>
                    <a:ln>
                      <a:noFill/>
                    </a:ln>
                    <a:extLst/>
                  </pic:spPr>
                </pic:pic>
              </a:graphicData>
            </a:graphic>
          </wp:inline>
        </w:drawing>
      </w:r>
      <w:r w:rsidRPr="00370F15">
        <w:rPr>
          <w:noProof/>
          <w:lang w:eastAsia="fr-FR"/>
        </w:rPr>
        <w:drawing>
          <wp:inline distT="0" distB="0" distL="0" distR="0" wp14:anchorId="1990511A" wp14:editId="4A2C668C">
            <wp:extent cx="2712820" cy="1974850"/>
            <wp:effectExtent l="0" t="0" r="5080" b="6350"/>
            <wp:docPr id="126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9" name="Imag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2820" cy="1974850"/>
                    </a:xfrm>
                    <a:prstGeom prst="rect">
                      <a:avLst/>
                    </a:prstGeom>
                    <a:noFill/>
                    <a:ln>
                      <a:noFill/>
                    </a:ln>
                    <a:extLst/>
                  </pic:spPr>
                </pic:pic>
              </a:graphicData>
            </a:graphic>
          </wp:inline>
        </w:drawing>
      </w:r>
      <w:r w:rsidR="00A40A8A" w:rsidRPr="00370F15">
        <w:br w:type="page"/>
      </w:r>
    </w:p>
    <w:p w14:paraId="0B37C719" w14:textId="09EEEBE3" w:rsidR="003E31C5" w:rsidRPr="00700B4E" w:rsidRDefault="00726CA9" w:rsidP="00431C98">
      <w:pPr>
        <w:pStyle w:val="TITRE1BIEN"/>
        <w:rPr>
          <w:sz w:val="32"/>
        </w:rPr>
      </w:pPr>
      <w:bookmarkStart w:id="7" w:name="_Toc269846255"/>
      <w:r>
        <w:rPr>
          <w:sz w:val="32"/>
        </w:rPr>
        <w:t>La bureaucratisation</w:t>
      </w:r>
      <w:bookmarkEnd w:id="7"/>
    </w:p>
    <w:p w14:paraId="79865BAE" w14:textId="77777777" w:rsidR="00D02852" w:rsidRDefault="00D02852" w:rsidP="00726CA9">
      <w:pPr>
        <w:keepNext/>
        <w:keepLines/>
        <w:jc w:val="both"/>
        <w:rPr>
          <w:rFonts w:ascii="Times New Roman" w:hAnsi="Times New Roman" w:cs="Times New Roman"/>
          <w:sz w:val="20"/>
          <w:szCs w:val="20"/>
        </w:rPr>
      </w:pPr>
    </w:p>
    <w:p w14:paraId="32782796" w14:textId="77777777" w:rsidR="00D02852" w:rsidRDefault="00726CA9" w:rsidP="00726CA9">
      <w:pPr>
        <w:keepNext/>
        <w:keepLines/>
        <w:jc w:val="both"/>
        <w:rPr>
          <w:rFonts w:ascii="Times New Roman" w:hAnsi="Times New Roman" w:cs="Times New Roman"/>
          <w:sz w:val="20"/>
          <w:szCs w:val="20"/>
        </w:rPr>
      </w:pPr>
      <w:r w:rsidRPr="006E52F4">
        <w:rPr>
          <w:rFonts w:ascii="Times New Roman" w:hAnsi="Times New Roman" w:cs="Times New Roman"/>
          <w:sz w:val="20"/>
          <w:szCs w:val="20"/>
        </w:rPr>
        <w:t>La bureaucratisation de</w:t>
      </w:r>
      <w:r>
        <w:rPr>
          <w:rFonts w:ascii="Times New Roman" w:hAnsi="Times New Roman" w:cs="Times New Roman"/>
          <w:sz w:val="20"/>
          <w:szCs w:val="20"/>
        </w:rPr>
        <w:t xml:space="preserve"> la lutte contre l’exclusion : </w:t>
      </w:r>
    </w:p>
    <w:p w14:paraId="1C48E1FF" w14:textId="46936542" w:rsidR="00726CA9" w:rsidRPr="006E52F4" w:rsidRDefault="00726CA9" w:rsidP="00726CA9">
      <w:pPr>
        <w:keepNext/>
        <w:keepLines/>
        <w:jc w:val="both"/>
        <w:rPr>
          <w:rFonts w:ascii="Times New Roman" w:hAnsi="Times New Roman" w:cs="Times New Roman"/>
          <w:sz w:val="20"/>
          <w:szCs w:val="20"/>
        </w:rPr>
      </w:pPr>
      <w:proofErr w:type="gramStart"/>
      <w:r w:rsidRPr="006E52F4">
        <w:rPr>
          <w:rFonts w:ascii="Times New Roman" w:hAnsi="Times New Roman" w:cs="Times New Roman"/>
          <w:sz w:val="20"/>
          <w:szCs w:val="20"/>
        </w:rPr>
        <w:t>représentation</w:t>
      </w:r>
      <w:proofErr w:type="gramEnd"/>
      <w:r w:rsidRPr="006E52F4">
        <w:rPr>
          <w:rFonts w:ascii="Times New Roman" w:hAnsi="Times New Roman" w:cs="Times New Roman"/>
          <w:sz w:val="20"/>
          <w:szCs w:val="20"/>
        </w:rPr>
        <w:t xml:space="preserve"> simplifiée à l’échelle </w:t>
      </w:r>
      <w:r>
        <w:rPr>
          <w:rFonts w:ascii="Times New Roman" w:hAnsi="Times New Roman" w:cs="Times New Roman"/>
          <w:sz w:val="20"/>
          <w:szCs w:val="20"/>
        </w:rPr>
        <w:t>départementale (1985-2010)</w:t>
      </w:r>
      <w:r w:rsidRPr="006E52F4">
        <w:rPr>
          <w:rFonts w:ascii="Times New Roman" w:hAnsi="Times New Roman" w:cs="Times New Roman"/>
          <w:sz w:val="20"/>
          <w:szCs w:val="20"/>
        </w:rPr>
        <w:fldChar w:fldCharType="begin"/>
      </w:r>
      <w:r w:rsidRPr="006E52F4">
        <w:rPr>
          <w:rFonts w:ascii="Times New Roman" w:hAnsi="Times New Roman" w:cs="Times New Roman"/>
          <w:sz w:val="20"/>
          <w:szCs w:val="20"/>
        </w:rPr>
        <w:instrText xml:space="preserve"> XE "Graphique IV.1. La bureaucratisation de la coordination (représentation simplifiée)" </w:instrText>
      </w:r>
      <w:r w:rsidRPr="006E52F4">
        <w:rPr>
          <w:rFonts w:ascii="Times New Roman" w:hAnsi="Times New Roman" w:cs="Times New Roman"/>
          <w:sz w:val="20"/>
          <w:szCs w:val="20"/>
        </w:rPr>
        <w:fldChar w:fldCharType="end"/>
      </w:r>
    </w:p>
    <w:tbl>
      <w:tblPr>
        <w:tblW w:w="5000" w:type="pct"/>
        <w:tblCellMar>
          <w:left w:w="70" w:type="dxa"/>
          <w:right w:w="70" w:type="dxa"/>
        </w:tblCellMar>
        <w:tblLook w:val="0000" w:firstRow="0" w:lastRow="0" w:firstColumn="0" w:lastColumn="0" w:noHBand="0" w:noVBand="0"/>
      </w:tblPr>
      <w:tblGrid>
        <w:gridCol w:w="1373"/>
        <w:gridCol w:w="193"/>
        <w:gridCol w:w="1374"/>
        <w:gridCol w:w="193"/>
        <w:gridCol w:w="1374"/>
        <w:gridCol w:w="193"/>
        <w:gridCol w:w="1374"/>
        <w:gridCol w:w="193"/>
        <w:gridCol w:w="1374"/>
        <w:gridCol w:w="193"/>
        <w:gridCol w:w="1372"/>
      </w:tblGrid>
      <w:tr w:rsidR="00726CA9" w:rsidRPr="00E94714" w14:paraId="2BAC4056" w14:textId="77777777" w:rsidTr="00177383">
        <w:trPr>
          <w:trHeight w:val="102"/>
        </w:trPr>
        <w:tc>
          <w:tcPr>
            <w:tcW w:w="746" w:type="pct"/>
          </w:tcPr>
          <w:p w14:paraId="3312AEE8"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ECCC7C1"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118304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800BC5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F45C69F"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2E18F0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2384A58"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488ED29"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13FEF38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6D1F76F" w14:textId="77777777" w:rsidR="00726CA9" w:rsidRPr="00E94714" w:rsidRDefault="00726CA9" w:rsidP="00177383">
            <w:pPr>
              <w:keepNext/>
              <w:keepLines/>
              <w:jc w:val="center"/>
              <w:rPr>
                <w:rFonts w:ascii="Times New Roman" w:hAnsi="Times New Roman" w:cs="Times New Roman"/>
                <w:sz w:val="12"/>
              </w:rPr>
            </w:pPr>
          </w:p>
        </w:tc>
        <w:tc>
          <w:tcPr>
            <w:tcW w:w="745" w:type="pct"/>
            <w:tcBorders>
              <w:bottom w:val="single" w:sz="4" w:space="0" w:color="auto"/>
            </w:tcBorders>
          </w:tcPr>
          <w:p w14:paraId="300E324B"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64E84290" w14:textId="77777777" w:rsidTr="00177383">
        <w:trPr>
          <w:trHeight w:val="102"/>
        </w:trPr>
        <w:tc>
          <w:tcPr>
            <w:tcW w:w="746" w:type="pct"/>
          </w:tcPr>
          <w:p w14:paraId="0A2CFBF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ACAC23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F8A8F0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19CE21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A9B810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AB295A1"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0232D63"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090F806"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487B579" w14:textId="77777777" w:rsidR="00726CA9" w:rsidRPr="00E94714" w:rsidRDefault="00726CA9" w:rsidP="00177383">
            <w:pPr>
              <w:keepNext/>
              <w:keepLines/>
              <w:jc w:val="center"/>
              <w:rPr>
                <w:rFonts w:ascii="Times New Roman" w:hAnsi="Times New Roman" w:cs="Times New Roman"/>
                <w:sz w:val="12"/>
              </w:rPr>
            </w:pPr>
          </w:p>
        </w:tc>
        <w:tc>
          <w:tcPr>
            <w:tcW w:w="105" w:type="pct"/>
            <w:tcBorders>
              <w:right w:val="single" w:sz="4" w:space="0" w:color="auto"/>
            </w:tcBorders>
          </w:tcPr>
          <w:p w14:paraId="1549E51C"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4EE72A4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CCAPEX</w:t>
            </w:r>
          </w:p>
          <w:p w14:paraId="154DCE1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Commissions spécialisées de coordination des actions de prévention des expulsions locatives</w:t>
            </w:r>
          </w:p>
        </w:tc>
      </w:tr>
      <w:tr w:rsidR="00726CA9" w:rsidRPr="00E94714" w14:paraId="4187B28D" w14:textId="77777777" w:rsidTr="00177383">
        <w:trPr>
          <w:trHeight w:hRule="exact" w:val="100"/>
        </w:trPr>
        <w:tc>
          <w:tcPr>
            <w:tcW w:w="746" w:type="pct"/>
          </w:tcPr>
          <w:p w14:paraId="3D4E71F8"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57700E7"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16A4E2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645C6E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DED3CE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14541DA"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8FC384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F083E8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A53C479"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AA4F9FF"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361793A3"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5FB8E253" w14:textId="77777777" w:rsidTr="00177383">
        <w:tc>
          <w:tcPr>
            <w:tcW w:w="746" w:type="pct"/>
          </w:tcPr>
          <w:p w14:paraId="0DD9990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FCF5D4E"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13B5E0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D93844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F460E5A"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DA17C5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72C1A4D" w14:textId="77777777" w:rsidR="00726CA9" w:rsidRPr="00E94714" w:rsidRDefault="00726CA9" w:rsidP="00177383">
            <w:pPr>
              <w:keepNext/>
              <w:keepLines/>
              <w:jc w:val="center"/>
              <w:rPr>
                <w:rFonts w:ascii="Times New Roman" w:hAnsi="Times New Roman" w:cs="Times New Roman"/>
                <w:sz w:val="12"/>
              </w:rPr>
            </w:pPr>
          </w:p>
        </w:tc>
        <w:tc>
          <w:tcPr>
            <w:tcW w:w="105" w:type="pct"/>
            <w:tcBorders>
              <w:left w:val="nil"/>
              <w:right w:val="single" w:sz="4" w:space="0" w:color="auto"/>
            </w:tcBorders>
          </w:tcPr>
          <w:p w14:paraId="71F9F01C"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1C7D50FE"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Pôle d'accueil en réseau pour l'accès aux droits sociaux (PARADS)</w:t>
            </w:r>
          </w:p>
        </w:tc>
        <w:tc>
          <w:tcPr>
            <w:tcW w:w="105" w:type="pct"/>
            <w:tcBorders>
              <w:left w:val="single" w:sz="4" w:space="0" w:color="auto"/>
              <w:right w:val="single" w:sz="4" w:space="0" w:color="auto"/>
            </w:tcBorders>
          </w:tcPr>
          <w:p w14:paraId="0E98ECA1"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1BBA937D"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Plan départemental d’accueil, d’hébergement et d’insertion (PDHAI)</w:t>
            </w:r>
          </w:p>
        </w:tc>
      </w:tr>
      <w:tr w:rsidR="00726CA9" w:rsidRPr="00E94714" w14:paraId="122173D3" w14:textId="77777777" w:rsidTr="00177383">
        <w:trPr>
          <w:trHeight w:hRule="exact" w:val="100"/>
        </w:trPr>
        <w:tc>
          <w:tcPr>
            <w:tcW w:w="746" w:type="pct"/>
          </w:tcPr>
          <w:p w14:paraId="52CF61A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8E2BCF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D77C2B2"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674E96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E2BCE5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198C8D5"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D5D87A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82A815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1B1A94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7B6B545"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7754FAAB"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4FE2A2F4" w14:textId="77777777" w:rsidTr="00177383">
        <w:tc>
          <w:tcPr>
            <w:tcW w:w="746" w:type="pct"/>
          </w:tcPr>
          <w:p w14:paraId="2865295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BEEBCBA"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0CAFD2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65F2D0B"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C4FD158"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D1EE85A"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75C46DD4"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 de l’accueil, de l’hébergement et de l’insertion</w:t>
            </w:r>
          </w:p>
        </w:tc>
        <w:tc>
          <w:tcPr>
            <w:tcW w:w="105" w:type="pct"/>
            <w:tcBorders>
              <w:left w:val="single" w:sz="4" w:space="0" w:color="auto"/>
              <w:right w:val="single" w:sz="4" w:space="0" w:color="auto"/>
            </w:tcBorders>
          </w:tcPr>
          <w:p w14:paraId="0BB65382"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6CAE4E82"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Commission départementale de la cohésion sociale</w:t>
            </w:r>
          </w:p>
        </w:tc>
        <w:tc>
          <w:tcPr>
            <w:tcW w:w="105" w:type="pct"/>
            <w:tcBorders>
              <w:left w:val="single" w:sz="4" w:space="0" w:color="auto"/>
              <w:right w:val="single" w:sz="4" w:space="0" w:color="auto"/>
            </w:tcBorders>
          </w:tcPr>
          <w:p w14:paraId="7606B87A"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7AE005D8"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SIAO</w:t>
            </w:r>
          </w:p>
          <w:p w14:paraId="7F4D347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Service intégré de l’accueil, de l’évaluation et de l’orientation</w:t>
            </w:r>
          </w:p>
        </w:tc>
      </w:tr>
      <w:tr w:rsidR="00726CA9" w:rsidRPr="00E94714" w14:paraId="6280726D" w14:textId="77777777" w:rsidTr="00177383">
        <w:trPr>
          <w:trHeight w:hRule="exact" w:val="80"/>
        </w:trPr>
        <w:tc>
          <w:tcPr>
            <w:tcW w:w="746" w:type="pct"/>
          </w:tcPr>
          <w:p w14:paraId="44924FD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C0EE0B3"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1CEFFD5"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D3948D3"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9AB9434"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66168A9"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61F8BFB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EE06CC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2BB0F0D"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D3D34FE"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3026FB38"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29E2D6EC" w14:textId="77777777" w:rsidTr="00177383">
        <w:tc>
          <w:tcPr>
            <w:tcW w:w="746" w:type="pct"/>
          </w:tcPr>
          <w:p w14:paraId="74B2ACB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597EE2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09703CA"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C791EC5"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D9E42D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B77BCD9"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3B94C340"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Commission de l’action sociale d’urgence (CASU)</w:t>
            </w:r>
          </w:p>
        </w:tc>
        <w:tc>
          <w:tcPr>
            <w:tcW w:w="105" w:type="pct"/>
            <w:tcBorders>
              <w:left w:val="single" w:sz="4" w:space="0" w:color="auto"/>
              <w:right w:val="single" w:sz="4" w:space="0" w:color="auto"/>
            </w:tcBorders>
          </w:tcPr>
          <w:p w14:paraId="55132FD0"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5C1E15ED"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 de l’accueil, de l’hébergement et de l’insertion</w:t>
            </w:r>
          </w:p>
        </w:tc>
        <w:tc>
          <w:tcPr>
            <w:tcW w:w="105" w:type="pct"/>
            <w:tcBorders>
              <w:left w:val="single" w:sz="4" w:space="0" w:color="auto"/>
              <w:right w:val="single" w:sz="4" w:space="0" w:color="auto"/>
            </w:tcBorders>
          </w:tcPr>
          <w:p w14:paraId="093C1D5C"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623F1A5A"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Pôle d'accueil en réseau pour l'accès aux droits sociaux (PARADS)</w:t>
            </w:r>
          </w:p>
        </w:tc>
      </w:tr>
      <w:tr w:rsidR="00726CA9" w:rsidRPr="00E94714" w14:paraId="5FF65DD8" w14:textId="77777777" w:rsidTr="00177383">
        <w:trPr>
          <w:trHeight w:hRule="exact" w:val="80"/>
        </w:trPr>
        <w:tc>
          <w:tcPr>
            <w:tcW w:w="746" w:type="pct"/>
          </w:tcPr>
          <w:p w14:paraId="7E5BE89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6F79073"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26D5549"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76D8C4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0AACFC5"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3F1727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0C1E88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A031E9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4BA1D7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3083891"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3D6ED536"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55E62C2C" w14:textId="77777777" w:rsidTr="00177383">
        <w:tc>
          <w:tcPr>
            <w:tcW w:w="746" w:type="pct"/>
          </w:tcPr>
          <w:p w14:paraId="097B108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1358B1E"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E26DEB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43A934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631F119"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4FB3D26"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4565B851"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Comité départemental de coordination des politiques de prévention et de lutte contre les exclusions</w:t>
            </w:r>
          </w:p>
        </w:tc>
        <w:tc>
          <w:tcPr>
            <w:tcW w:w="105" w:type="pct"/>
            <w:tcBorders>
              <w:left w:val="single" w:sz="4" w:space="0" w:color="auto"/>
              <w:right w:val="single" w:sz="4" w:space="0" w:color="auto"/>
            </w:tcBorders>
          </w:tcPr>
          <w:p w14:paraId="6A5CC946"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04A27812"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Comité départemental de coordination des politiques de prévention et de lutte contre les exclusions</w:t>
            </w:r>
          </w:p>
        </w:tc>
        <w:tc>
          <w:tcPr>
            <w:tcW w:w="105" w:type="pct"/>
            <w:tcBorders>
              <w:left w:val="single" w:sz="4" w:space="0" w:color="auto"/>
              <w:right w:val="single" w:sz="4" w:space="0" w:color="auto"/>
            </w:tcBorders>
          </w:tcPr>
          <w:p w14:paraId="67E504C2"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57F4657C"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Commission départementale de la cohésion sociale</w:t>
            </w:r>
          </w:p>
        </w:tc>
      </w:tr>
      <w:tr w:rsidR="00726CA9" w:rsidRPr="00E94714" w14:paraId="5ED7B332" w14:textId="77777777" w:rsidTr="00177383">
        <w:trPr>
          <w:trHeight w:hRule="exact" w:val="80"/>
        </w:trPr>
        <w:tc>
          <w:tcPr>
            <w:tcW w:w="746" w:type="pct"/>
          </w:tcPr>
          <w:p w14:paraId="7A3983ED"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B87032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591945D"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CF5846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1E574B5"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ABAFEF2"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2D376C9"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580EAF1"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DC1E4F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278864E"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44C5443D"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36BAD3E5" w14:textId="77777777" w:rsidTr="00177383">
        <w:tc>
          <w:tcPr>
            <w:tcW w:w="746" w:type="pct"/>
          </w:tcPr>
          <w:p w14:paraId="1402799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DFFED2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1E38B8D9"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118169B"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1427ED83" w14:textId="77777777" w:rsidR="00726CA9" w:rsidRPr="00E94714" w:rsidRDefault="00726CA9" w:rsidP="00177383">
            <w:pPr>
              <w:keepNext/>
              <w:keepLines/>
              <w:jc w:val="center"/>
              <w:rPr>
                <w:rFonts w:ascii="Times New Roman" w:hAnsi="Times New Roman" w:cs="Times New Roman"/>
                <w:sz w:val="12"/>
              </w:rPr>
            </w:pPr>
          </w:p>
        </w:tc>
        <w:tc>
          <w:tcPr>
            <w:tcW w:w="105" w:type="pct"/>
            <w:tcBorders>
              <w:left w:val="nil"/>
            </w:tcBorders>
          </w:tcPr>
          <w:p w14:paraId="5ACF6CB7"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628AA1AD"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CDAD</w:t>
            </w:r>
          </w:p>
          <w:p w14:paraId="7B694F4C"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Conseil départemental de l’accès au droit</w:t>
            </w:r>
          </w:p>
        </w:tc>
        <w:tc>
          <w:tcPr>
            <w:tcW w:w="105" w:type="pct"/>
            <w:tcBorders>
              <w:left w:val="single" w:sz="4" w:space="0" w:color="auto"/>
              <w:right w:val="single" w:sz="4" w:space="0" w:color="auto"/>
            </w:tcBorders>
          </w:tcPr>
          <w:p w14:paraId="12141491"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2765BF31"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CDAD</w:t>
            </w:r>
          </w:p>
          <w:p w14:paraId="05647D5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Conseil départemental de l’accès au droit</w:t>
            </w:r>
          </w:p>
        </w:tc>
        <w:tc>
          <w:tcPr>
            <w:tcW w:w="105" w:type="pct"/>
            <w:tcBorders>
              <w:left w:val="single" w:sz="4" w:space="0" w:color="auto"/>
              <w:right w:val="single" w:sz="4" w:space="0" w:color="auto"/>
            </w:tcBorders>
          </w:tcPr>
          <w:p w14:paraId="7B293178"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765BB1A4"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Commission de médiation départementale pour le droit au logement</w:t>
            </w:r>
          </w:p>
        </w:tc>
      </w:tr>
      <w:tr w:rsidR="00726CA9" w:rsidRPr="00E94714" w14:paraId="558E94FA" w14:textId="77777777" w:rsidTr="00177383">
        <w:trPr>
          <w:trHeight w:hRule="exact" w:val="80"/>
        </w:trPr>
        <w:tc>
          <w:tcPr>
            <w:tcW w:w="746" w:type="pct"/>
          </w:tcPr>
          <w:p w14:paraId="385FC0A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C6E6C95"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3486685"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B91E6B7"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74CD19F"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912A41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B2EE73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16829E7"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41C5A5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EC35449"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56855EB1"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487CD57D" w14:textId="77777777" w:rsidTr="00177383">
        <w:tc>
          <w:tcPr>
            <w:tcW w:w="746" w:type="pct"/>
          </w:tcPr>
          <w:p w14:paraId="59F60B24"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F16597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7740274"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88EE127"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0C6053D0"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PDHU</w:t>
            </w:r>
          </w:p>
          <w:p w14:paraId="667C005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Plan départemental pour l’hébergement d’urgence</w:t>
            </w:r>
          </w:p>
        </w:tc>
        <w:tc>
          <w:tcPr>
            <w:tcW w:w="105" w:type="pct"/>
            <w:tcBorders>
              <w:left w:val="nil"/>
            </w:tcBorders>
          </w:tcPr>
          <w:p w14:paraId="3E260922"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54393D0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PDHU</w:t>
            </w:r>
          </w:p>
          <w:p w14:paraId="32E75A63"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Plan départemental pour l’hébergement d’urgence</w:t>
            </w:r>
          </w:p>
        </w:tc>
        <w:tc>
          <w:tcPr>
            <w:tcW w:w="105" w:type="pct"/>
            <w:tcBorders>
              <w:left w:val="single" w:sz="4" w:space="0" w:color="auto"/>
              <w:right w:val="single" w:sz="4" w:space="0" w:color="auto"/>
            </w:tcBorders>
          </w:tcPr>
          <w:p w14:paraId="708352D1"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790D075F"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PDHU</w:t>
            </w:r>
          </w:p>
          <w:p w14:paraId="03E0B3A3"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Plan départemental pour l’hébergement d’urgence</w:t>
            </w:r>
          </w:p>
        </w:tc>
        <w:tc>
          <w:tcPr>
            <w:tcW w:w="105" w:type="pct"/>
            <w:tcBorders>
              <w:left w:val="single" w:sz="4" w:space="0" w:color="auto"/>
              <w:right w:val="single" w:sz="4" w:space="0" w:color="auto"/>
            </w:tcBorders>
          </w:tcPr>
          <w:p w14:paraId="5E582BE3"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77987BBA"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CDAD</w:t>
            </w:r>
          </w:p>
          <w:p w14:paraId="2FCF8DBA"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Conseil départemental de l’accès au droit</w:t>
            </w:r>
          </w:p>
        </w:tc>
      </w:tr>
      <w:tr w:rsidR="00726CA9" w:rsidRPr="00E94714" w14:paraId="2AFC2E28" w14:textId="77777777" w:rsidTr="00177383">
        <w:trPr>
          <w:trHeight w:hRule="exact" w:val="80"/>
        </w:trPr>
        <w:tc>
          <w:tcPr>
            <w:tcW w:w="746" w:type="pct"/>
          </w:tcPr>
          <w:p w14:paraId="7816E9B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211BC85"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1D7A117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EFC98DB"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6B810437"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F8B992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97F7204"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945DF2A"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88F34B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8E50306"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34B1FB23"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22EB15B4" w14:textId="77777777" w:rsidTr="00177383">
        <w:tc>
          <w:tcPr>
            <w:tcW w:w="746" w:type="pct"/>
          </w:tcPr>
          <w:p w14:paraId="2783701A"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870586E"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8FD5CA4"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AD7A99C"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3E92C20E"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d’accès aux soins</w:t>
            </w:r>
          </w:p>
        </w:tc>
        <w:tc>
          <w:tcPr>
            <w:tcW w:w="105" w:type="pct"/>
            <w:tcBorders>
              <w:left w:val="nil"/>
            </w:tcBorders>
          </w:tcPr>
          <w:p w14:paraId="1F2B5AA5"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5D413153"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d’accès aux soins</w:t>
            </w:r>
          </w:p>
        </w:tc>
        <w:tc>
          <w:tcPr>
            <w:tcW w:w="105" w:type="pct"/>
            <w:tcBorders>
              <w:left w:val="single" w:sz="4" w:space="0" w:color="auto"/>
              <w:right w:val="single" w:sz="4" w:space="0" w:color="auto"/>
            </w:tcBorders>
          </w:tcPr>
          <w:p w14:paraId="290E1EA3"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1DBA12C2"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d’accès aux soins</w:t>
            </w:r>
          </w:p>
        </w:tc>
        <w:tc>
          <w:tcPr>
            <w:tcW w:w="105" w:type="pct"/>
            <w:tcBorders>
              <w:left w:val="single" w:sz="4" w:space="0" w:color="auto"/>
              <w:right w:val="single" w:sz="4" w:space="0" w:color="auto"/>
            </w:tcBorders>
          </w:tcPr>
          <w:p w14:paraId="066E5128"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512C133E"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Comité départemental de coordination des politiques de prévention et de lutte contre les exclusions</w:t>
            </w:r>
          </w:p>
        </w:tc>
      </w:tr>
      <w:tr w:rsidR="00726CA9" w:rsidRPr="00E94714" w14:paraId="06E0BE16" w14:textId="77777777" w:rsidTr="00177383">
        <w:trPr>
          <w:trHeight w:hRule="exact" w:val="80"/>
        </w:trPr>
        <w:tc>
          <w:tcPr>
            <w:tcW w:w="746" w:type="pct"/>
          </w:tcPr>
          <w:p w14:paraId="2FAC6E9D"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51C36C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66F586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89F198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AA3D73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A8349A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9AD066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DDC4204"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5DD52B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6BA35D5"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50AFE493"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2FF0572B" w14:textId="77777777" w:rsidTr="00177383">
        <w:tc>
          <w:tcPr>
            <w:tcW w:w="746" w:type="pct"/>
          </w:tcPr>
          <w:p w14:paraId="76E90DEF"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5C86FA6"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55702DD0"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CHRS</w:t>
            </w:r>
          </w:p>
        </w:tc>
        <w:tc>
          <w:tcPr>
            <w:tcW w:w="105" w:type="pct"/>
            <w:tcBorders>
              <w:left w:val="nil"/>
            </w:tcBorders>
          </w:tcPr>
          <w:p w14:paraId="4B9A5DBA"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7C0A8840"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CHRS</w:t>
            </w:r>
          </w:p>
        </w:tc>
        <w:tc>
          <w:tcPr>
            <w:tcW w:w="105" w:type="pct"/>
            <w:tcBorders>
              <w:left w:val="nil"/>
            </w:tcBorders>
          </w:tcPr>
          <w:p w14:paraId="3B19FDBB"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6F27B9C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CHRS</w:t>
            </w:r>
          </w:p>
        </w:tc>
        <w:tc>
          <w:tcPr>
            <w:tcW w:w="105" w:type="pct"/>
            <w:tcBorders>
              <w:left w:val="single" w:sz="4" w:space="0" w:color="auto"/>
              <w:right w:val="single" w:sz="4" w:space="0" w:color="auto"/>
            </w:tcBorders>
          </w:tcPr>
          <w:p w14:paraId="620F3F77"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7E02A45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CHRS</w:t>
            </w:r>
          </w:p>
        </w:tc>
        <w:tc>
          <w:tcPr>
            <w:tcW w:w="105" w:type="pct"/>
            <w:tcBorders>
              <w:left w:val="single" w:sz="4" w:space="0" w:color="auto"/>
              <w:right w:val="single" w:sz="4" w:space="0" w:color="auto"/>
            </w:tcBorders>
          </w:tcPr>
          <w:p w14:paraId="4667EEA8"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1C3B747B"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Schémas d’accès aux soins</w:t>
            </w:r>
          </w:p>
        </w:tc>
      </w:tr>
      <w:tr w:rsidR="00726CA9" w:rsidRPr="00E94714" w14:paraId="2907B0C3" w14:textId="77777777" w:rsidTr="00177383">
        <w:trPr>
          <w:trHeight w:hRule="exact" w:val="80"/>
        </w:trPr>
        <w:tc>
          <w:tcPr>
            <w:tcW w:w="746" w:type="pct"/>
          </w:tcPr>
          <w:p w14:paraId="324CE73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B4ECD3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924C06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1F70DF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DDE58B8"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5FE955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2B30265"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86F987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C39A4EF"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A796780"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2E846AF3"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03A8F0AA" w14:textId="77777777" w:rsidTr="00177383">
        <w:tc>
          <w:tcPr>
            <w:tcW w:w="746" w:type="pct"/>
          </w:tcPr>
          <w:p w14:paraId="2715036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6C315D96"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3CE04066"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PDALD</w:t>
            </w:r>
          </w:p>
          <w:p w14:paraId="02135B1B"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d’actions pour le logement des défavorisés</w:t>
            </w:r>
          </w:p>
        </w:tc>
        <w:tc>
          <w:tcPr>
            <w:tcW w:w="105" w:type="pct"/>
            <w:tcBorders>
              <w:left w:val="nil"/>
            </w:tcBorders>
          </w:tcPr>
          <w:p w14:paraId="3B9ACA50"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3C503F0C"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PDALD</w:t>
            </w:r>
          </w:p>
          <w:p w14:paraId="6D8F93FC"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d’actions pour le logement des défavorisés</w:t>
            </w:r>
          </w:p>
        </w:tc>
        <w:tc>
          <w:tcPr>
            <w:tcW w:w="105" w:type="pct"/>
            <w:tcBorders>
              <w:left w:val="nil"/>
            </w:tcBorders>
          </w:tcPr>
          <w:p w14:paraId="382D2894"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377A7D53"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PDALD</w:t>
            </w:r>
          </w:p>
          <w:p w14:paraId="71269E8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d’actions pour le logement des défavorisés</w:t>
            </w:r>
          </w:p>
        </w:tc>
        <w:tc>
          <w:tcPr>
            <w:tcW w:w="105" w:type="pct"/>
            <w:tcBorders>
              <w:left w:val="single" w:sz="4" w:space="0" w:color="auto"/>
              <w:right w:val="single" w:sz="4" w:space="0" w:color="auto"/>
            </w:tcBorders>
          </w:tcPr>
          <w:p w14:paraId="719CCF40"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27C7B03B"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PDALD</w:t>
            </w:r>
          </w:p>
          <w:p w14:paraId="32C0832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d’actions pour le logement des défavorisés</w:t>
            </w:r>
          </w:p>
        </w:tc>
        <w:tc>
          <w:tcPr>
            <w:tcW w:w="105" w:type="pct"/>
            <w:tcBorders>
              <w:left w:val="single" w:sz="4" w:space="0" w:color="auto"/>
              <w:right w:val="single" w:sz="4" w:space="0" w:color="auto"/>
            </w:tcBorders>
          </w:tcPr>
          <w:p w14:paraId="1E744018"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6CCB92C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PDALD</w:t>
            </w:r>
          </w:p>
          <w:p w14:paraId="58CB2074"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d’actions pour le logement des défavorisés</w:t>
            </w:r>
          </w:p>
        </w:tc>
      </w:tr>
      <w:tr w:rsidR="00726CA9" w:rsidRPr="00E94714" w14:paraId="145C802B" w14:textId="77777777" w:rsidTr="00177383">
        <w:trPr>
          <w:trHeight w:hRule="exact" w:val="80"/>
        </w:trPr>
        <w:tc>
          <w:tcPr>
            <w:tcW w:w="746" w:type="pct"/>
          </w:tcPr>
          <w:p w14:paraId="03255A2A"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4B00BDC5"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67D1777"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7FA2C76"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13888B0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8495A8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31241EC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51BE8C3E"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16170456"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C0E1A9B"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141F6B1A"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431C2E99" w14:textId="77777777" w:rsidTr="00177383">
        <w:tc>
          <w:tcPr>
            <w:tcW w:w="746" w:type="pct"/>
          </w:tcPr>
          <w:p w14:paraId="3BAD9C2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E4D7126"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4BFA6983"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PDI</w:t>
            </w:r>
          </w:p>
          <w:p w14:paraId="60AEB4F5"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d’insertion</w:t>
            </w:r>
          </w:p>
        </w:tc>
        <w:tc>
          <w:tcPr>
            <w:tcW w:w="105" w:type="pct"/>
            <w:tcBorders>
              <w:left w:val="nil"/>
            </w:tcBorders>
          </w:tcPr>
          <w:p w14:paraId="29610A33"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0AD10F4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PDI</w:t>
            </w:r>
          </w:p>
          <w:p w14:paraId="1144254F"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d’insertion</w:t>
            </w:r>
          </w:p>
        </w:tc>
        <w:tc>
          <w:tcPr>
            <w:tcW w:w="105" w:type="pct"/>
            <w:tcBorders>
              <w:left w:val="nil"/>
            </w:tcBorders>
          </w:tcPr>
          <w:p w14:paraId="7E580D9B"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130EDF35"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PDI</w:t>
            </w:r>
          </w:p>
          <w:p w14:paraId="3C95BD4F"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d’insertion</w:t>
            </w:r>
          </w:p>
        </w:tc>
        <w:tc>
          <w:tcPr>
            <w:tcW w:w="105" w:type="pct"/>
            <w:tcBorders>
              <w:left w:val="single" w:sz="4" w:space="0" w:color="auto"/>
              <w:right w:val="single" w:sz="4" w:space="0" w:color="auto"/>
            </w:tcBorders>
          </w:tcPr>
          <w:p w14:paraId="578C5D5C"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3EE66E36"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PDI</w:t>
            </w:r>
          </w:p>
          <w:p w14:paraId="291ED4A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d’insertion</w:t>
            </w:r>
          </w:p>
        </w:tc>
        <w:tc>
          <w:tcPr>
            <w:tcW w:w="105" w:type="pct"/>
            <w:tcBorders>
              <w:left w:val="single" w:sz="4" w:space="0" w:color="auto"/>
              <w:right w:val="single" w:sz="4" w:space="0" w:color="auto"/>
            </w:tcBorders>
          </w:tcPr>
          <w:p w14:paraId="1ED0C5A4"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4A3AD62E"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PDI</w:t>
            </w:r>
          </w:p>
          <w:p w14:paraId="4E3785FE"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Programme départemental d’insertion</w:t>
            </w:r>
          </w:p>
        </w:tc>
      </w:tr>
      <w:tr w:rsidR="00726CA9" w:rsidRPr="00E94714" w14:paraId="416CE9A4" w14:textId="77777777" w:rsidTr="00177383">
        <w:trPr>
          <w:trHeight w:hRule="exact" w:val="80"/>
        </w:trPr>
        <w:tc>
          <w:tcPr>
            <w:tcW w:w="746" w:type="pct"/>
          </w:tcPr>
          <w:p w14:paraId="2B348EC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A574BE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207B94F"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D5CBDC1"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9E8557B"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1240449"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DC52BA0"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027816D"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69D0672"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710D00B4"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1AE0E990"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3331B884" w14:textId="77777777" w:rsidTr="00177383">
        <w:tc>
          <w:tcPr>
            <w:tcW w:w="746" w:type="pct"/>
            <w:tcBorders>
              <w:top w:val="single" w:sz="4" w:space="0" w:color="auto"/>
              <w:left w:val="single" w:sz="4" w:space="0" w:color="auto"/>
              <w:bottom w:val="single" w:sz="4" w:space="0" w:color="auto"/>
              <w:right w:val="single" w:sz="4" w:space="0" w:color="auto"/>
            </w:tcBorders>
          </w:tcPr>
          <w:p w14:paraId="0A4C187D"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Cellule « pauvreté/précarité »</w:t>
            </w:r>
          </w:p>
        </w:tc>
        <w:tc>
          <w:tcPr>
            <w:tcW w:w="105" w:type="pct"/>
            <w:tcBorders>
              <w:left w:val="nil"/>
            </w:tcBorders>
          </w:tcPr>
          <w:p w14:paraId="24543A12"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4E448307"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Cellule « pauvreté/précarité »</w:t>
            </w:r>
          </w:p>
        </w:tc>
        <w:tc>
          <w:tcPr>
            <w:tcW w:w="105" w:type="pct"/>
            <w:tcBorders>
              <w:left w:val="nil"/>
            </w:tcBorders>
          </w:tcPr>
          <w:p w14:paraId="3563901D"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479C89F1"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Cellule « pauvreté/précarité »</w:t>
            </w:r>
          </w:p>
        </w:tc>
        <w:tc>
          <w:tcPr>
            <w:tcW w:w="105" w:type="pct"/>
            <w:tcBorders>
              <w:left w:val="nil"/>
            </w:tcBorders>
          </w:tcPr>
          <w:p w14:paraId="5B64C17C"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435F9135"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Cellule « pauvreté/précarité »</w:t>
            </w:r>
          </w:p>
        </w:tc>
        <w:tc>
          <w:tcPr>
            <w:tcW w:w="105" w:type="pct"/>
            <w:tcBorders>
              <w:left w:val="single" w:sz="4" w:space="0" w:color="auto"/>
              <w:right w:val="single" w:sz="4" w:space="0" w:color="auto"/>
            </w:tcBorders>
          </w:tcPr>
          <w:p w14:paraId="44526BF4" w14:textId="77777777" w:rsidR="00726CA9" w:rsidRPr="00E94714" w:rsidRDefault="00726CA9" w:rsidP="00177383">
            <w:pPr>
              <w:keepNext/>
              <w:keepLines/>
              <w:jc w:val="center"/>
              <w:rPr>
                <w:rFonts w:ascii="Times New Roman" w:hAnsi="Times New Roman" w:cs="Times New Roman"/>
                <w:sz w:val="12"/>
              </w:rPr>
            </w:pPr>
          </w:p>
        </w:tc>
        <w:tc>
          <w:tcPr>
            <w:tcW w:w="746" w:type="pct"/>
            <w:tcBorders>
              <w:top w:val="single" w:sz="4" w:space="0" w:color="auto"/>
              <w:left w:val="single" w:sz="4" w:space="0" w:color="auto"/>
              <w:bottom w:val="single" w:sz="4" w:space="0" w:color="auto"/>
              <w:right w:val="single" w:sz="4" w:space="0" w:color="auto"/>
            </w:tcBorders>
          </w:tcPr>
          <w:p w14:paraId="29045758"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Cellule « pauvreté/précarité »</w:t>
            </w:r>
          </w:p>
        </w:tc>
        <w:tc>
          <w:tcPr>
            <w:tcW w:w="105" w:type="pct"/>
            <w:tcBorders>
              <w:left w:val="single" w:sz="4" w:space="0" w:color="auto"/>
              <w:right w:val="single" w:sz="4" w:space="0" w:color="auto"/>
            </w:tcBorders>
          </w:tcPr>
          <w:p w14:paraId="26978D6F" w14:textId="77777777" w:rsidR="00726CA9" w:rsidRPr="00E94714" w:rsidRDefault="00726CA9" w:rsidP="00177383">
            <w:pPr>
              <w:keepNext/>
              <w:keepLines/>
              <w:jc w:val="center"/>
              <w:rPr>
                <w:rFonts w:ascii="Times New Roman" w:hAnsi="Times New Roman" w:cs="Times New Roman"/>
                <w:sz w:val="12"/>
              </w:rPr>
            </w:pPr>
          </w:p>
        </w:tc>
        <w:tc>
          <w:tcPr>
            <w:tcW w:w="745" w:type="pct"/>
            <w:tcBorders>
              <w:top w:val="single" w:sz="4" w:space="0" w:color="auto"/>
              <w:left w:val="single" w:sz="4" w:space="0" w:color="auto"/>
              <w:bottom w:val="single" w:sz="4" w:space="0" w:color="auto"/>
              <w:right w:val="single" w:sz="4" w:space="0" w:color="auto"/>
            </w:tcBorders>
          </w:tcPr>
          <w:p w14:paraId="1F199339"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Cellule « pauvreté/précarité »</w:t>
            </w:r>
          </w:p>
        </w:tc>
      </w:tr>
      <w:tr w:rsidR="00726CA9" w:rsidRPr="00E94714" w14:paraId="6F6CFE7E" w14:textId="77777777" w:rsidTr="00177383">
        <w:trPr>
          <w:trHeight w:hRule="exact" w:val="80"/>
        </w:trPr>
        <w:tc>
          <w:tcPr>
            <w:tcW w:w="746" w:type="pct"/>
          </w:tcPr>
          <w:p w14:paraId="15806C62" w14:textId="77777777" w:rsidR="00726CA9" w:rsidRPr="00E94714" w:rsidRDefault="00726CA9" w:rsidP="00177383">
            <w:pPr>
              <w:keepNext/>
              <w:keepLines/>
              <w:jc w:val="center"/>
              <w:rPr>
                <w:rFonts w:ascii="Times New Roman" w:hAnsi="Times New Roman" w:cs="Times New Roman"/>
                <w:sz w:val="12"/>
              </w:rPr>
            </w:pPr>
            <w:r>
              <w:rPr>
                <w:rFonts w:ascii="Times New Roman" w:hAnsi="Times New Roman" w:cs="Times New Roman"/>
                <w:noProof/>
                <w:sz w:val="12"/>
                <w:lang w:eastAsia="fr-FR"/>
              </w:rPr>
              <mc:AlternateContent>
                <mc:Choice Requires="wps">
                  <w:drawing>
                    <wp:anchor distT="0" distB="0" distL="114300" distR="114300" simplePos="0" relativeHeight="251659264" behindDoc="0" locked="0" layoutInCell="0" allowOverlap="1" wp14:anchorId="269D3049" wp14:editId="77521EA2">
                      <wp:simplePos x="0" y="0"/>
                      <wp:positionH relativeFrom="column">
                        <wp:posOffset>14605</wp:posOffset>
                      </wp:positionH>
                      <wp:positionV relativeFrom="paragraph">
                        <wp:posOffset>102235</wp:posOffset>
                      </wp:positionV>
                      <wp:extent cx="5577840" cy="0"/>
                      <wp:effectExtent l="14605" t="51435" r="20955" b="7556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05pt" to="440.3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" o:allowincell="f">
                      <v:stroke endarrow="block"/>
                    </v:line>
                  </w:pict>
                </mc:Fallback>
              </mc:AlternateContent>
            </w:r>
          </w:p>
        </w:tc>
        <w:tc>
          <w:tcPr>
            <w:tcW w:w="105" w:type="pct"/>
          </w:tcPr>
          <w:p w14:paraId="7ACAA99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BD801D5"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8CB206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63A7931E"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EC3D57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9E121D4"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3CDB959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4F057D18"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09CDC02"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3CB10DD8"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2BAEF2C3" w14:textId="77777777" w:rsidTr="00177383">
        <w:tc>
          <w:tcPr>
            <w:tcW w:w="746" w:type="pct"/>
          </w:tcPr>
          <w:p w14:paraId="436C1E9C"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5DF23CF"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C6D8D91"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1DCFDE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6605FF27"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0F1A72C2"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04B12C0F"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1BF3FC0A"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7A18D522" w14:textId="77777777" w:rsidR="00726CA9" w:rsidRPr="00E94714" w:rsidRDefault="00726CA9" w:rsidP="00177383">
            <w:pPr>
              <w:keepNext/>
              <w:keepLines/>
              <w:jc w:val="center"/>
              <w:rPr>
                <w:rFonts w:ascii="Times New Roman" w:hAnsi="Times New Roman" w:cs="Times New Roman"/>
                <w:sz w:val="12"/>
              </w:rPr>
            </w:pPr>
          </w:p>
        </w:tc>
        <w:tc>
          <w:tcPr>
            <w:tcW w:w="105" w:type="pct"/>
          </w:tcPr>
          <w:p w14:paraId="25B580D3"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3F1BE1B7" w14:textId="77777777" w:rsidR="00726CA9" w:rsidRPr="00E94714" w:rsidRDefault="00726CA9" w:rsidP="00177383">
            <w:pPr>
              <w:keepNext/>
              <w:keepLines/>
              <w:jc w:val="center"/>
              <w:rPr>
                <w:rFonts w:ascii="Times New Roman" w:hAnsi="Times New Roman" w:cs="Times New Roman"/>
                <w:sz w:val="12"/>
              </w:rPr>
            </w:pPr>
          </w:p>
        </w:tc>
      </w:tr>
      <w:tr w:rsidR="00726CA9" w:rsidRPr="00E94714" w14:paraId="61883A54" w14:textId="77777777" w:rsidTr="00177383">
        <w:tc>
          <w:tcPr>
            <w:tcW w:w="746" w:type="pct"/>
          </w:tcPr>
          <w:p w14:paraId="71A3EF0A"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1985</w:t>
            </w:r>
          </w:p>
        </w:tc>
        <w:tc>
          <w:tcPr>
            <w:tcW w:w="105" w:type="pct"/>
          </w:tcPr>
          <w:p w14:paraId="3916486C"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26E51F64"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1990</w:t>
            </w:r>
          </w:p>
        </w:tc>
        <w:tc>
          <w:tcPr>
            <w:tcW w:w="105" w:type="pct"/>
          </w:tcPr>
          <w:p w14:paraId="3EF21618"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68467D98"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1995</w:t>
            </w:r>
          </w:p>
        </w:tc>
        <w:tc>
          <w:tcPr>
            <w:tcW w:w="105" w:type="pct"/>
          </w:tcPr>
          <w:p w14:paraId="734D191E"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6FC97920"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2000</w:t>
            </w:r>
          </w:p>
        </w:tc>
        <w:tc>
          <w:tcPr>
            <w:tcW w:w="105" w:type="pct"/>
          </w:tcPr>
          <w:p w14:paraId="1F38A9C0" w14:textId="77777777" w:rsidR="00726CA9" w:rsidRPr="00E94714" w:rsidRDefault="00726CA9" w:rsidP="00177383">
            <w:pPr>
              <w:keepNext/>
              <w:keepLines/>
              <w:jc w:val="center"/>
              <w:rPr>
                <w:rFonts w:ascii="Times New Roman" w:hAnsi="Times New Roman" w:cs="Times New Roman"/>
                <w:sz w:val="12"/>
              </w:rPr>
            </w:pPr>
          </w:p>
        </w:tc>
        <w:tc>
          <w:tcPr>
            <w:tcW w:w="746" w:type="pct"/>
          </w:tcPr>
          <w:p w14:paraId="5BD4FE98"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2005</w:t>
            </w:r>
          </w:p>
        </w:tc>
        <w:tc>
          <w:tcPr>
            <w:tcW w:w="105" w:type="pct"/>
          </w:tcPr>
          <w:p w14:paraId="1537F0E0" w14:textId="77777777" w:rsidR="00726CA9" w:rsidRPr="00E94714" w:rsidRDefault="00726CA9" w:rsidP="00177383">
            <w:pPr>
              <w:keepNext/>
              <w:keepLines/>
              <w:jc w:val="center"/>
              <w:rPr>
                <w:rFonts w:ascii="Times New Roman" w:hAnsi="Times New Roman" w:cs="Times New Roman"/>
                <w:sz w:val="12"/>
              </w:rPr>
            </w:pPr>
          </w:p>
        </w:tc>
        <w:tc>
          <w:tcPr>
            <w:tcW w:w="745" w:type="pct"/>
          </w:tcPr>
          <w:p w14:paraId="1E208B2F" w14:textId="77777777" w:rsidR="00726CA9" w:rsidRPr="00E94714" w:rsidRDefault="00726CA9" w:rsidP="00177383">
            <w:pPr>
              <w:keepNext/>
              <w:keepLines/>
              <w:jc w:val="center"/>
              <w:rPr>
                <w:rFonts w:ascii="Times New Roman" w:hAnsi="Times New Roman" w:cs="Times New Roman"/>
                <w:sz w:val="12"/>
              </w:rPr>
            </w:pPr>
            <w:r w:rsidRPr="00E94714">
              <w:rPr>
                <w:rFonts w:ascii="Times New Roman" w:hAnsi="Times New Roman" w:cs="Times New Roman"/>
                <w:sz w:val="12"/>
              </w:rPr>
              <w:t>2010</w:t>
            </w:r>
          </w:p>
        </w:tc>
      </w:tr>
    </w:tbl>
    <w:p w14:paraId="42328175" w14:textId="77777777" w:rsidR="00726CA9" w:rsidRPr="00E94714" w:rsidRDefault="00726CA9" w:rsidP="00726CA9">
      <w:pPr>
        <w:jc w:val="both"/>
        <w:rPr>
          <w:rFonts w:ascii="Times New Roman" w:hAnsi="Times New Roman" w:cs="Times New Roman"/>
          <w:b/>
          <w:sz w:val="18"/>
          <w:szCs w:val="18"/>
        </w:rPr>
      </w:pPr>
    </w:p>
    <w:p w14:paraId="16CE8840" w14:textId="77777777" w:rsidR="00370F15" w:rsidRDefault="00370F15" w:rsidP="00370F15"/>
    <w:p w14:paraId="11692325" w14:textId="0EFA77F1" w:rsidR="00370F15" w:rsidRPr="00700B4E" w:rsidRDefault="00370F15" w:rsidP="00370F15">
      <w:pPr>
        <w:pStyle w:val="TITRE1BIEN"/>
        <w:rPr>
          <w:sz w:val="32"/>
        </w:rPr>
      </w:pPr>
      <w:bookmarkStart w:id="8" w:name="_Toc269846256"/>
      <w:r>
        <w:rPr>
          <w:sz w:val="32"/>
        </w:rPr>
        <w:t>Dix gros sujets de débat</w:t>
      </w:r>
      <w:bookmarkEnd w:id="8"/>
    </w:p>
    <w:p w14:paraId="0911F824" w14:textId="77777777" w:rsidR="00370F15" w:rsidRDefault="00370F15" w:rsidP="00370F15"/>
    <w:p w14:paraId="1E062A53" w14:textId="77777777" w:rsidR="00370F15" w:rsidRDefault="00370F15" w:rsidP="00370F15"/>
    <w:p w14:paraId="2147AE0D" w14:textId="377945F5" w:rsidR="00370F15" w:rsidRPr="003C586A" w:rsidRDefault="00202A14" w:rsidP="00370F15">
      <w:pPr>
        <w:pStyle w:val="Paragraphedeliste"/>
        <w:numPr>
          <w:ilvl w:val="0"/>
          <w:numId w:val="14"/>
        </w:numPr>
        <w:rPr>
          <w:b/>
        </w:rPr>
      </w:pPr>
      <w:bookmarkStart w:id="9" w:name="_GoBack"/>
      <w:r>
        <w:rPr>
          <w:b/>
        </w:rPr>
        <w:t>La maladie mentale est-elle une explication ?</w:t>
      </w:r>
    </w:p>
    <w:p w14:paraId="7E6038D0" w14:textId="31446441" w:rsidR="00370F15" w:rsidRPr="003C586A" w:rsidRDefault="00370F15" w:rsidP="00370F15">
      <w:pPr>
        <w:pStyle w:val="Paragraphedeliste"/>
        <w:numPr>
          <w:ilvl w:val="0"/>
          <w:numId w:val="14"/>
        </w:numPr>
        <w:rPr>
          <w:b/>
        </w:rPr>
      </w:pPr>
      <w:r w:rsidRPr="003C586A">
        <w:rPr>
          <w:b/>
        </w:rPr>
        <w:t>La famille</w:t>
      </w:r>
      <w:r w:rsidR="00202A14">
        <w:rPr>
          <w:b/>
        </w:rPr>
        <w:t xml:space="preserve"> doit-elle intervenir ?</w:t>
      </w:r>
    </w:p>
    <w:p w14:paraId="1142A18F" w14:textId="120005A0" w:rsidR="00370F15" w:rsidRPr="003C586A" w:rsidRDefault="00202A14" w:rsidP="00370F15">
      <w:pPr>
        <w:pStyle w:val="Paragraphedeliste"/>
        <w:numPr>
          <w:ilvl w:val="0"/>
          <w:numId w:val="14"/>
        </w:numPr>
        <w:rPr>
          <w:b/>
        </w:rPr>
      </w:pPr>
      <w:r>
        <w:rPr>
          <w:b/>
        </w:rPr>
        <w:t>Le droit au logement – opposable – est-il une solution ?</w:t>
      </w:r>
    </w:p>
    <w:p w14:paraId="671D502B" w14:textId="584C9A7F" w:rsidR="00370F15" w:rsidRPr="003C586A" w:rsidRDefault="00202A14" w:rsidP="00370F15">
      <w:pPr>
        <w:pStyle w:val="Paragraphedeliste"/>
        <w:numPr>
          <w:ilvl w:val="0"/>
          <w:numId w:val="14"/>
        </w:numPr>
        <w:rPr>
          <w:b/>
        </w:rPr>
      </w:pPr>
      <w:r>
        <w:rPr>
          <w:b/>
        </w:rPr>
        <w:t>Quelle place tient l’immigration ?</w:t>
      </w:r>
    </w:p>
    <w:p w14:paraId="505E124B" w14:textId="66A53FBD" w:rsidR="00370F15" w:rsidRPr="003C586A" w:rsidRDefault="00202A14" w:rsidP="00370F15">
      <w:pPr>
        <w:pStyle w:val="Paragraphedeliste"/>
        <w:numPr>
          <w:ilvl w:val="0"/>
          <w:numId w:val="14"/>
        </w:numPr>
        <w:rPr>
          <w:b/>
        </w:rPr>
      </w:pPr>
      <w:r>
        <w:rPr>
          <w:b/>
        </w:rPr>
        <w:t>Quel niveau de coercition accepter ?</w:t>
      </w:r>
    </w:p>
    <w:p w14:paraId="3378D2A4" w14:textId="3F92F030" w:rsidR="00202A14" w:rsidRPr="003C586A" w:rsidRDefault="00202A14" w:rsidP="00202A14">
      <w:pPr>
        <w:pStyle w:val="Paragraphedeliste"/>
        <w:numPr>
          <w:ilvl w:val="0"/>
          <w:numId w:val="14"/>
        </w:numPr>
        <w:rPr>
          <w:b/>
        </w:rPr>
      </w:pPr>
      <w:r>
        <w:rPr>
          <w:b/>
        </w:rPr>
        <w:t>Doit-on interdire la</w:t>
      </w:r>
      <w:r w:rsidRPr="003C586A">
        <w:rPr>
          <w:b/>
        </w:rPr>
        <w:t xml:space="preserve"> mendicité</w:t>
      </w:r>
      <w:r>
        <w:rPr>
          <w:b/>
        </w:rPr>
        <w:t> ?</w:t>
      </w:r>
    </w:p>
    <w:p w14:paraId="5CF9D6F6" w14:textId="3A382455" w:rsidR="00370F15" w:rsidRPr="003C586A" w:rsidRDefault="00370F15" w:rsidP="00370F15">
      <w:pPr>
        <w:pStyle w:val="Paragraphedeliste"/>
        <w:numPr>
          <w:ilvl w:val="0"/>
          <w:numId w:val="14"/>
        </w:numPr>
        <w:rPr>
          <w:b/>
        </w:rPr>
      </w:pPr>
      <w:r w:rsidRPr="003C586A">
        <w:rPr>
          <w:b/>
        </w:rPr>
        <w:t>Les objectifs chiffrés</w:t>
      </w:r>
      <w:r w:rsidR="00202A14">
        <w:rPr>
          <w:b/>
        </w:rPr>
        <w:t xml:space="preserve"> sont-ils réalistes ?</w:t>
      </w:r>
    </w:p>
    <w:p w14:paraId="2EF0DFBB" w14:textId="173E58E6" w:rsidR="00370F15" w:rsidRPr="003C586A" w:rsidRDefault="00202A14" w:rsidP="00370F15">
      <w:pPr>
        <w:pStyle w:val="Paragraphedeliste"/>
        <w:numPr>
          <w:ilvl w:val="0"/>
          <w:numId w:val="14"/>
        </w:numPr>
        <w:rPr>
          <w:b/>
        </w:rPr>
      </w:pPr>
      <w:r>
        <w:rPr>
          <w:b/>
        </w:rPr>
        <w:t>Quelle</w:t>
      </w:r>
      <w:r w:rsidR="00370F15" w:rsidRPr="003C586A">
        <w:rPr>
          <w:b/>
        </w:rPr>
        <w:t xml:space="preserve"> place </w:t>
      </w:r>
      <w:r>
        <w:rPr>
          <w:b/>
        </w:rPr>
        <w:t>pour le secteur</w:t>
      </w:r>
      <w:r w:rsidR="00370F15" w:rsidRPr="003C586A">
        <w:rPr>
          <w:b/>
        </w:rPr>
        <w:t xml:space="preserve"> privé</w:t>
      </w:r>
      <w:r>
        <w:rPr>
          <w:b/>
        </w:rPr>
        <w:t> ?</w:t>
      </w:r>
    </w:p>
    <w:p w14:paraId="69C3D1E9" w14:textId="630CB74F" w:rsidR="00370F15" w:rsidRDefault="00202A14" w:rsidP="00370F15">
      <w:pPr>
        <w:pStyle w:val="Paragraphedeliste"/>
        <w:numPr>
          <w:ilvl w:val="0"/>
          <w:numId w:val="14"/>
        </w:numPr>
        <w:rPr>
          <w:b/>
        </w:rPr>
      </w:pPr>
      <w:r>
        <w:rPr>
          <w:b/>
        </w:rPr>
        <w:t>Quelle</w:t>
      </w:r>
      <w:r w:rsidR="00370F15" w:rsidRPr="003C586A">
        <w:rPr>
          <w:b/>
        </w:rPr>
        <w:t xml:space="preserve"> place de l’Europe</w:t>
      </w:r>
      <w:r>
        <w:rPr>
          <w:b/>
        </w:rPr>
        <w:t> ?</w:t>
      </w:r>
    </w:p>
    <w:p w14:paraId="4499745B" w14:textId="3AD3F7DC" w:rsidR="003313C9" w:rsidRPr="003C586A" w:rsidRDefault="00202A14" w:rsidP="00370F15">
      <w:pPr>
        <w:pStyle w:val="Paragraphedeliste"/>
        <w:numPr>
          <w:ilvl w:val="0"/>
          <w:numId w:val="14"/>
        </w:numPr>
        <w:rPr>
          <w:b/>
        </w:rPr>
      </w:pPr>
      <w:r>
        <w:rPr>
          <w:b/>
        </w:rPr>
        <w:t xml:space="preserve">Lutter contre le </w:t>
      </w:r>
      <w:proofErr w:type="spellStart"/>
      <w:r>
        <w:rPr>
          <w:b/>
        </w:rPr>
        <w:t>sans-abrisme</w:t>
      </w:r>
      <w:proofErr w:type="spellEnd"/>
      <w:r>
        <w:rPr>
          <w:b/>
        </w:rPr>
        <w:t> : un investissement social ?</w:t>
      </w:r>
    </w:p>
    <w:bookmarkEnd w:id="9"/>
    <w:p w14:paraId="05DB0251" w14:textId="6A997ADA" w:rsidR="00370F15" w:rsidRPr="00370F15" w:rsidRDefault="00370F15" w:rsidP="00370F15">
      <w:r w:rsidRPr="00370F15">
        <w:t xml:space="preserve"> </w:t>
      </w:r>
    </w:p>
    <w:p w14:paraId="125FF231" w14:textId="77777777" w:rsidR="00590A68" w:rsidRPr="00B80487" w:rsidRDefault="00590A68" w:rsidP="00D35D22">
      <w:pPr>
        <w:pStyle w:val="TITRE1BIEN"/>
      </w:pPr>
    </w:p>
    <w:sectPr w:rsidR="00590A68" w:rsidRPr="00B80487" w:rsidSect="00A61FD6">
      <w:footerReference w:type="even" r:id="rId26"/>
      <w:footerReference w:type="default" r:id="rId27"/>
      <w:footnotePr>
        <w:numRestart w:val="eachPage"/>
      </w:footnotePr>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7306E" w14:textId="77777777" w:rsidR="00A40A8A" w:rsidRDefault="00A40A8A">
      <w:r>
        <w:separator/>
      </w:r>
    </w:p>
  </w:endnote>
  <w:endnote w:type="continuationSeparator" w:id="0">
    <w:p w14:paraId="2316B8A2" w14:textId="77777777" w:rsidR="00A40A8A" w:rsidRDefault="00A4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495D1" w14:textId="77777777" w:rsidR="00A40A8A" w:rsidRDefault="00A40A8A" w:rsidP="00D93A9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7B3D662" w14:textId="77777777" w:rsidR="00A40A8A" w:rsidRDefault="00A40A8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AF6" w14:textId="77777777" w:rsidR="00A40A8A" w:rsidRPr="00A61FD6" w:rsidRDefault="00A40A8A" w:rsidP="00D93A9C">
    <w:pPr>
      <w:pStyle w:val="Pieddepage"/>
      <w:framePr w:wrap="around" w:vAnchor="text" w:hAnchor="margin" w:xAlign="center" w:y="1"/>
      <w:rPr>
        <w:rStyle w:val="Numrodepage"/>
        <w:b/>
        <w:sz w:val="18"/>
      </w:rPr>
    </w:pPr>
    <w:r w:rsidRPr="00A61FD6">
      <w:rPr>
        <w:rStyle w:val="Numrodepage"/>
        <w:b/>
        <w:sz w:val="18"/>
      </w:rPr>
      <w:fldChar w:fldCharType="begin"/>
    </w:r>
    <w:r w:rsidRPr="00A61FD6">
      <w:rPr>
        <w:rStyle w:val="Numrodepage"/>
        <w:b/>
        <w:sz w:val="18"/>
      </w:rPr>
      <w:instrText xml:space="preserve">PAGE  </w:instrText>
    </w:r>
    <w:r w:rsidRPr="00A61FD6">
      <w:rPr>
        <w:rStyle w:val="Numrodepage"/>
        <w:b/>
        <w:sz w:val="18"/>
      </w:rPr>
      <w:fldChar w:fldCharType="separate"/>
    </w:r>
    <w:r w:rsidR="00202A14">
      <w:rPr>
        <w:rStyle w:val="Numrodepage"/>
        <w:b/>
        <w:noProof/>
        <w:sz w:val="18"/>
      </w:rPr>
      <w:t>12</w:t>
    </w:r>
    <w:r w:rsidRPr="00A61FD6">
      <w:rPr>
        <w:rStyle w:val="Numrodepage"/>
        <w:b/>
        <w:sz w:val="18"/>
      </w:rPr>
      <w:fldChar w:fldCharType="end"/>
    </w:r>
  </w:p>
  <w:p w14:paraId="44F64A9D" w14:textId="77777777" w:rsidR="00A40A8A" w:rsidRDefault="00A40A8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416D1" w14:textId="77777777" w:rsidR="00A40A8A" w:rsidRDefault="00A40A8A">
      <w:r>
        <w:separator/>
      </w:r>
    </w:p>
  </w:footnote>
  <w:footnote w:type="continuationSeparator" w:id="0">
    <w:p w14:paraId="4A7B51F0" w14:textId="77777777" w:rsidR="00A40A8A" w:rsidRDefault="00A40A8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A36CA"/>
    <w:multiLevelType w:val="hybridMultilevel"/>
    <w:tmpl w:val="5ACA4BAA"/>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nsid w:val="2DF83014"/>
    <w:multiLevelType w:val="hybridMultilevel"/>
    <w:tmpl w:val="57221EF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38BC3398"/>
    <w:multiLevelType w:val="hybridMultilevel"/>
    <w:tmpl w:val="0BC84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A490D63"/>
    <w:multiLevelType w:val="hybridMultilevel"/>
    <w:tmpl w:val="A1909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B80154"/>
    <w:multiLevelType w:val="hybridMultilevel"/>
    <w:tmpl w:val="2E04AF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FE13312"/>
    <w:multiLevelType w:val="hybridMultilevel"/>
    <w:tmpl w:val="E780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043CCE"/>
    <w:multiLevelType w:val="hybridMultilevel"/>
    <w:tmpl w:val="A04644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ABD48DC"/>
    <w:multiLevelType w:val="hybridMultilevel"/>
    <w:tmpl w:val="BF408322"/>
    <w:lvl w:ilvl="0" w:tplc="3ABA51BA">
      <w:start w:val="1"/>
      <w:numFmt w:val="bullet"/>
      <w:lvlText w:val="•"/>
      <w:lvlJc w:val="left"/>
      <w:pPr>
        <w:tabs>
          <w:tab w:val="num" w:pos="720"/>
        </w:tabs>
        <w:ind w:left="720" w:hanging="360"/>
      </w:pPr>
      <w:rPr>
        <w:rFonts w:ascii="Times" w:hAnsi="Times" w:hint="default"/>
      </w:rPr>
    </w:lvl>
    <w:lvl w:ilvl="1" w:tplc="AD169E48">
      <w:start w:val="1"/>
      <w:numFmt w:val="bullet"/>
      <w:lvlText w:val="•"/>
      <w:lvlJc w:val="left"/>
      <w:pPr>
        <w:tabs>
          <w:tab w:val="num" w:pos="1440"/>
        </w:tabs>
        <w:ind w:left="1440" w:hanging="360"/>
      </w:pPr>
      <w:rPr>
        <w:rFonts w:ascii="Times" w:hAnsi="Times" w:hint="default"/>
      </w:rPr>
    </w:lvl>
    <w:lvl w:ilvl="2" w:tplc="DCFE9C66" w:tentative="1">
      <w:start w:val="1"/>
      <w:numFmt w:val="bullet"/>
      <w:lvlText w:val="•"/>
      <w:lvlJc w:val="left"/>
      <w:pPr>
        <w:tabs>
          <w:tab w:val="num" w:pos="2160"/>
        </w:tabs>
        <w:ind w:left="2160" w:hanging="360"/>
      </w:pPr>
      <w:rPr>
        <w:rFonts w:ascii="Times" w:hAnsi="Times" w:hint="default"/>
      </w:rPr>
    </w:lvl>
    <w:lvl w:ilvl="3" w:tplc="855EDE8E" w:tentative="1">
      <w:start w:val="1"/>
      <w:numFmt w:val="bullet"/>
      <w:lvlText w:val="•"/>
      <w:lvlJc w:val="left"/>
      <w:pPr>
        <w:tabs>
          <w:tab w:val="num" w:pos="2880"/>
        </w:tabs>
        <w:ind w:left="2880" w:hanging="360"/>
      </w:pPr>
      <w:rPr>
        <w:rFonts w:ascii="Times" w:hAnsi="Times" w:hint="default"/>
      </w:rPr>
    </w:lvl>
    <w:lvl w:ilvl="4" w:tplc="89667290" w:tentative="1">
      <w:start w:val="1"/>
      <w:numFmt w:val="bullet"/>
      <w:lvlText w:val="•"/>
      <w:lvlJc w:val="left"/>
      <w:pPr>
        <w:tabs>
          <w:tab w:val="num" w:pos="3600"/>
        </w:tabs>
        <w:ind w:left="3600" w:hanging="360"/>
      </w:pPr>
      <w:rPr>
        <w:rFonts w:ascii="Times" w:hAnsi="Times" w:hint="default"/>
      </w:rPr>
    </w:lvl>
    <w:lvl w:ilvl="5" w:tplc="748E022E" w:tentative="1">
      <w:start w:val="1"/>
      <w:numFmt w:val="bullet"/>
      <w:lvlText w:val="•"/>
      <w:lvlJc w:val="left"/>
      <w:pPr>
        <w:tabs>
          <w:tab w:val="num" w:pos="4320"/>
        </w:tabs>
        <w:ind w:left="4320" w:hanging="360"/>
      </w:pPr>
      <w:rPr>
        <w:rFonts w:ascii="Times" w:hAnsi="Times" w:hint="default"/>
      </w:rPr>
    </w:lvl>
    <w:lvl w:ilvl="6" w:tplc="DFFA3D58" w:tentative="1">
      <w:start w:val="1"/>
      <w:numFmt w:val="bullet"/>
      <w:lvlText w:val="•"/>
      <w:lvlJc w:val="left"/>
      <w:pPr>
        <w:tabs>
          <w:tab w:val="num" w:pos="5040"/>
        </w:tabs>
        <w:ind w:left="5040" w:hanging="360"/>
      </w:pPr>
      <w:rPr>
        <w:rFonts w:ascii="Times" w:hAnsi="Times" w:hint="default"/>
      </w:rPr>
    </w:lvl>
    <w:lvl w:ilvl="7" w:tplc="D0FA999E" w:tentative="1">
      <w:start w:val="1"/>
      <w:numFmt w:val="bullet"/>
      <w:lvlText w:val="•"/>
      <w:lvlJc w:val="left"/>
      <w:pPr>
        <w:tabs>
          <w:tab w:val="num" w:pos="5760"/>
        </w:tabs>
        <w:ind w:left="5760" w:hanging="360"/>
      </w:pPr>
      <w:rPr>
        <w:rFonts w:ascii="Times" w:hAnsi="Times" w:hint="default"/>
      </w:rPr>
    </w:lvl>
    <w:lvl w:ilvl="8" w:tplc="DAC67B08" w:tentative="1">
      <w:start w:val="1"/>
      <w:numFmt w:val="bullet"/>
      <w:lvlText w:val="•"/>
      <w:lvlJc w:val="left"/>
      <w:pPr>
        <w:tabs>
          <w:tab w:val="num" w:pos="6480"/>
        </w:tabs>
        <w:ind w:left="6480" w:hanging="360"/>
      </w:pPr>
      <w:rPr>
        <w:rFonts w:ascii="Times" w:hAnsi="Times" w:hint="default"/>
      </w:rPr>
    </w:lvl>
  </w:abstractNum>
  <w:abstractNum w:abstractNumId="8">
    <w:nsid w:val="5D012FBF"/>
    <w:multiLevelType w:val="hybridMultilevel"/>
    <w:tmpl w:val="82B00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0E21939"/>
    <w:multiLevelType w:val="hybridMultilevel"/>
    <w:tmpl w:val="8A964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2CA2D7D"/>
    <w:multiLevelType w:val="hybridMultilevel"/>
    <w:tmpl w:val="C2165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60B7C58"/>
    <w:multiLevelType w:val="hybridMultilevel"/>
    <w:tmpl w:val="2ECCA682"/>
    <w:lvl w:ilvl="0" w:tplc="771CD954">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BA44B59"/>
    <w:multiLevelType w:val="hybridMultilevel"/>
    <w:tmpl w:val="CFE06E8A"/>
    <w:lvl w:ilvl="0" w:tplc="1F0429E4">
      <w:start w:val="1"/>
      <w:numFmt w:val="bullet"/>
      <w:lvlText w:val="•"/>
      <w:lvlJc w:val="left"/>
      <w:pPr>
        <w:tabs>
          <w:tab w:val="num" w:pos="720"/>
        </w:tabs>
        <w:ind w:left="720" w:hanging="360"/>
      </w:pPr>
      <w:rPr>
        <w:rFonts w:ascii="Times" w:hAnsi="Times" w:hint="default"/>
      </w:rPr>
    </w:lvl>
    <w:lvl w:ilvl="1" w:tplc="535C7DCC">
      <w:start w:val="85"/>
      <w:numFmt w:val="bullet"/>
      <w:lvlText w:val="•"/>
      <w:lvlJc w:val="left"/>
      <w:pPr>
        <w:tabs>
          <w:tab w:val="num" w:pos="1440"/>
        </w:tabs>
        <w:ind w:left="1440" w:hanging="360"/>
      </w:pPr>
      <w:rPr>
        <w:rFonts w:ascii="Times" w:hAnsi="Times" w:hint="default"/>
      </w:rPr>
    </w:lvl>
    <w:lvl w:ilvl="2" w:tplc="8A7AD136" w:tentative="1">
      <w:start w:val="1"/>
      <w:numFmt w:val="bullet"/>
      <w:lvlText w:val="•"/>
      <w:lvlJc w:val="left"/>
      <w:pPr>
        <w:tabs>
          <w:tab w:val="num" w:pos="2160"/>
        </w:tabs>
        <w:ind w:left="2160" w:hanging="360"/>
      </w:pPr>
      <w:rPr>
        <w:rFonts w:ascii="Times" w:hAnsi="Times" w:hint="default"/>
      </w:rPr>
    </w:lvl>
    <w:lvl w:ilvl="3" w:tplc="B112812E" w:tentative="1">
      <w:start w:val="1"/>
      <w:numFmt w:val="bullet"/>
      <w:lvlText w:val="•"/>
      <w:lvlJc w:val="left"/>
      <w:pPr>
        <w:tabs>
          <w:tab w:val="num" w:pos="2880"/>
        </w:tabs>
        <w:ind w:left="2880" w:hanging="360"/>
      </w:pPr>
      <w:rPr>
        <w:rFonts w:ascii="Times" w:hAnsi="Times" w:hint="default"/>
      </w:rPr>
    </w:lvl>
    <w:lvl w:ilvl="4" w:tplc="35FC95FA" w:tentative="1">
      <w:start w:val="1"/>
      <w:numFmt w:val="bullet"/>
      <w:lvlText w:val="•"/>
      <w:lvlJc w:val="left"/>
      <w:pPr>
        <w:tabs>
          <w:tab w:val="num" w:pos="3600"/>
        </w:tabs>
        <w:ind w:left="3600" w:hanging="360"/>
      </w:pPr>
      <w:rPr>
        <w:rFonts w:ascii="Times" w:hAnsi="Times" w:hint="default"/>
      </w:rPr>
    </w:lvl>
    <w:lvl w:ilvl="5" w:tplc="0E2E6338" w:tentative="1">
      <w:start w:val="1"/>
      <w:numFmt w:val="bullet"/>
      <w:lvlText w:val="•"/>
      <w:lvlJc w:val="left"/>
      <w:pPr>
        <w:tabs>
          <w:tab w:val="num" w:pos="4320"/>
        </w:tabs>
        <w:ind w:left="4320" w:hanging="360"/>
      </w:pPr>
      <w:rPr>
        <w:rFonts w:ascii="Times" w:hAnsi="Times" w:hint="default"/>
      </w:rPr>
    </w:lvl>
    <w:lvl w:ilvl="6" w:tplc="C4A46E04" w:tentative="1">
      <w:start w:val="1"/>
      <w:numFmt w:val="bullet"/>
      <w:lvlText w:val="•"/>
      <w:lvlJc w:val="left"/>
      <w:pPr>
        <w:tabs>
          <w:tab w:val="num" w:pos="5040"/>
        </w:tabs>
        <w:ind w:left="5040" w:hanging="360"/>
      </w:pPr>
      <w:rPr>
        <w:rFonts w:ascii="Times" w:hAnsi="Times" w:hint="default"/>
      </w:rPr>
    </w:lvl>
    <w:lvl w:ilvl="7" w:tplc="09B603CE" w:tentative="1">
      <w:start w:val="1"/>
      <w:numFmt w:val="bullet"/>
      <w:lvlText w:val="•"/>
      <w:lvlJc w:val="left"/>
      <w:pPr>
        <w:tabs>
          <w:tab w:val="num" w:pos="5760"/>
        </w:tabs>
        <w:ind w:left="5760" w:hanging="360"/>
      </w:pPr>
      <w:rPr>
        <w:rFonts w:ascii="Times" w:hAnsi="Times" w:hint="default"/>
      </w:rPr>
    </w:lvl>
    <w:lvl w:ilvl="8" w:tplc="54BC192E" w:tentative="1">
      <w:start w:val="1"/>
      <w:numFmt w:val="bullet"/>
      <w:lvlText w:val="•"/>
      <w:lvlJc w:val="left"/>
      <w:pPr>
        <w:tabs>
          <w:tab w:val="num" w:pos="6480"/>
        </w:tabs>
        <w:ind w:left="6480" w:hanging="360"/>
      </w:pPr>
      <w:rPr>
        <w:rFonts w:ascii="Times" w:hAnsi="Times" w:hint="default"/>
      </w:rPr>
    </w:lvl>
  </w:abstractNum>
  <w:abstractNum w:abstractNumId="13">
    <w:nsid w:val="6D91282B"/>
    <w:multiLevelType w:val="hybridMultilevel"/>
    <w:tmpl w:val="568828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8"/>
  </w:num>
  <w:num w:numId="4">
    <w:abstractNumId w:val="9"/>
  </w:num>
  <w:num w:numId="5">
    <w:abstractNumId w:val="10"/>
  </w:num>
  <w:num w:numId="6">
    <w:abstractNumId w:val="11"/>
  </w:num>
  <w:num w:numId="7">
    <w:abstractNumId w:val="4"/>
  </w:num>
  <w:num w:numId="8">
    <w:abstractNumId w:val="0"/>
  </w:num>
  <w:num w:numId="9">
    <w:abstractNumId w:val="5"/>
  </w:num>
  <w:num w:numId="10">
    <w:abstractNumId w:val="12"/>
  </w:num>
  <w:num w:numId="11">
    <w:abstractNumId w:val="7"/>
  </w:num>
  <w:num w:numId="12">
    <w:abstractNumId w:val="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215"/>
    <w:rsid w:val="0000314C"/>
    <w:rsid w:val="000049FC"/>
    <w:rsid w:val="00004E83"/>
    <w:rsid w:val="0000500F"/>
    <w:rsid w:val="00007555"/>
    <w:rsid w:val="00007CE6"/>
    <w:rsid w:val="00010EA4"/>
    <w:rsid w:val="000134D3"/>
    <w:rsid w:val="00014640"/>
    <w:rsid w:val="00014826"/>
    <w:rsid w:val="00015418"/>
    <w:rsid w:val="00015DCA"/>
    <w:rsid w:val="0002168B"/>
    <w:rsid w:val="0002255C"/>
    <w:rsid w:val="00023360"/>
    <w:rsid w:val="000241B8"/>
    <w:rsid w:val="000244F9"/>
    <w:rsid w:val="000249D0"/>
    <w:rsid w:val="00025ED9"/>
    <w:rsid w:val="0003117F"/>
    <w:rsid w:val="00031815"/>
    <w:rsid w:val="00032226"/>
    <w:rsid w:val="00032259"/>
    <w:rsid w:val="00032262"/>
    <w:rsid w:val="00033D17"/>
    <w:rsid w:val="00034747"/>
    <w:rsid w:val="00035E88"/>
    <w:rsid w:val="000373BF"/>
    <w:rsid w:val="0004184A"/>
    <w:rsid w:val="00042921"/>
    <w:rsid w:val="00042C5B"/>
    <w:rsid w:val="00042D49"/>
    <w:rsid w:val="000431A7"/>
    <w:rsid w:val="000447BC"/>
    <w:rsid w:val="00045692"/>
    <w:rsid w:val="00045EFB"/>
    <w:rsid w:val="0004686B"/>
    <w:rsid w:val="0005060A"/>
    <w:rsid w:val="00051375"/>
    <w:rsid w:val="00052B6E"/>
    <w:rsid w:val="00052EBE"/>
    <w:rsid w:val="00054604"/>
    <w:rsid w:val="00055D29"/>
    <w:rsid w:val="00062437"/>
    <w:rsid w:val="00062625"/>
    <w:rsid w:val="00064E80"/>
    <w:rsid w:val="0006562A"/>
    <w:rsid w:val="00071451"/>
    <w:rsid w:val="000725C0"/>
    <w:rsid w:val="00073BD7"/>
    <w:rsid w:val="00077006"/>
    <w:rsid w:val="00077F68"/>
    <w:rsid w:val="00080C74"/>
    <w:rsid w:val="00083229"/>
    <w:rsid w:val="0008358E"/>
    <w:rsid w:val="00084DB3"/>
    <w:rsid w:val="00084E2C"/>
    <w:rsid w:val="00087A33"/>
    <w:rsid w:val="00091548"/>
    <w:rsid w:val="00092B60"/>
    <w:rsid w:val="0009441C"/>
    <w:rsid w:val="0009567D"/>
    <w:rsid w:val="00095C21"/>
    <w:rsid w:val="00095DEB"/>
    <w:rsid w:val="000968F3"/>
    <w:rsid w:val="000976A3"/>
    <w:rsid w:val="000A24B8"/>
    <w:rsid w:val="000A4FCB"/>
    <w:rsid w:val="000A51BD"/>
    <w:rsid w:val="000A550B"/>
    <w:rsid w:val="000A5A01"/>
    <w:rsid w:val="000A5CCC"/>
    <w:rsid w:val="000A6431"/>
    <w:rsid w:val="000A68F1"/>
    <w:rsid w:val="000B1860"/>
    <w:rsid w:val="000B6279"/>
    <w:rsid w:val="000C253A"/>
    <w:rsid w:val="000C2942"/>
    <w:rsid w:val="000C468A"/>
    <w:rsid w:val="000C4913"/>
    <w:rsid w:val="000C52F1"/>
    <w:rsid w:val="000C5A51"/>
    <w:rsid w:val="000C6AC1"/>
    <w:rsid w:val="000C7920"/>
    <w:rsid w:val="000D185F"/>
    <w:rsid w:val="000D5E8E"/>
    <w:rsid w:val="000D7BE7"/>
    <w:rsid w:val="000E0A45"/>
    <w:rsid w:val="000E2F00"/>
    <w:rsid w:val="000E438B"/>
    <w:rsid w:val="000E6779"/>
    <w:rsid w:val="000F105A"/>
    <w:rsid w:val="000F1B03"/>
    <w:rsid w:val="000F1B33"/>
    <w:rsid w:val="000F3259"/>
    <w:rsid w:val="000F3F12"/>
    <w:rsid w:val="000F5BE3"/>
    <w:rsid w:val="000F5F97"/>
    <w:rsid w:val="000F7DAD"/>
    <w:rsid w:val="00101B2E"/>
    <w:rsid w:val="0010280D"/>
    <w:rsid w:val="00103B62"/>
    <w:rsid w:val="001052BC"/>
    <w:rsid w:val="001111F0"/>
    <w:rsid w:val="00113EA3"/>
    <w:rsid w:val="00114D5F"/>
    <w:rsid w:val="00115718"/>
    <w:rsid w:val="00121675"/>
    <w:rsid w:val="00121F52"/>
    <w:rsid w:val="00123234"/>
    <w:rsid w:val="001237DE"/>
    <w:rsid w:val="00124E68"/>
    <w:rsid w:val="0012607A"/>
    <w:rsid w:val="001268F1"/>
    <w:rsid w:val="0012767D"/>
    <w:rsid w:val="00127BEE"/>
    <w:rsid w:val="00131764"/>
    <w:rsid w:val="00132122"/>
    <w:rsid w:val="0013271A"/>
    <w:rsid w:val="00132A69"/>
    <w:rsid w:val="00133581"/>
    <w:rsid w:val="00134BE3"/>
    <w:rsid w:val="00134ECB"/>
    <w:rsid w:val="0013504B"/>
    <w:rsid w:val="00144BE1"/>
    <w:rsid w:val="00144D1B"/>
    <w:rsid w:val="00144D7B"/>
    <w:rsid w:val="001451A8"/>
    <w:rsid w:val="00147529"/>
    <w:rsid w:val="00147B1F"/>
    <w:rsid w:val="00147CCF"/>
    <w:rsid w:val="0015124F"/>
    <w:rsid w:val="00151504"/>
    <w:rsid w:val="00155A27"/>
    <w:rsid w:val="0015644D"/>
    <w:rsid w:val="00157B6B"/>
    <w:rsid w:val="00160215"/>
    <w:rsid w:val="0016131A"/>
    <w:rsid w:val="00162836"/>
    <w:rsid w:val="00162C6F"/>
    <w:rsid w:val="0016312B"/>
    <w:rsid w:val="001655F4"/>
    <w:rsid w:val="00165D09"/>
    <w:rsid w:val="0016704F"/>
    <w:rsid w:val="00170913"/>
    <w:rsid w:val="00171E20"/>
    <w:rsid w:val="0017292A"/>
    <w:rsid w:val="00175018"/>
    <w:rsid w:val="001751F6"/>
    <w:rsid w:val="0017686B"/>
    <w:rsid w:val="00176A64"/>
    <w:rsid w:val="00177072"/>
    <w:rsid w:val="00177383"/>
    <w:rsid w:val="00182438"/>
    <w:rsid w:val="00184345"/>
    <w:rsid w:val="001843E7"/>
    <w:rsid w:val="00185A1C"/>
    <w:rsid w:val="001863AD"/>
    <w:rsid w:val="001873D7"/>
    <w:rsid w:val="0018740A"/>
    <w:rsid w:val="00187986"/>
    <w:rsid w:val="00190051"/>
    <w:rsid w:val="001914F5"/>
    <w:rsid w:val="00192250"/>
    <w:rsid w:val="00193A49"/>
    <w:rsid w:val="00195847"/>
    <w:rsid w:val="001967A4"/>
    <w:rsid w:val="00196D83"/>
    <w:rsid w:val="001A2E30"/>
    <w:rsid w:val="001A41B4"/>
    <w:rsid w:val="001A4A58"/>
    <w:rsid w:val="001A5AEE"/>
    <w:rsid w:val="001A7577"/>
    <w:rsid w:val="001B07B1"/>
    <w:rsid w:val="001B0B40"/>
    <w:rsid w:val="001B1100"/>
    <w:rsid w:val="001B17E5"/>
    <w:rsid w:val="001B2830"/>
    <w:rsid w:val="001B2F2C"/>
    <w:rsid w:val="001B3311"/>
    <w:rsid w:val="001B4388"/>
    <w:rsid w:val="001B56CC"/>
    <w:rsid w:val="001B6A69"/>
    <w:rsid w:val="001B6E86"/>
    <w:rsid w:val="001B7E16"/>
    <w:rsid w:val="001C092A"/>
    <w:rsid w:val="001C0A15"/>
    <w:rsid w:val="001C21BF"/>
    <w:rsid w:val="001C23D2"/>
    <w:rsid w:val="001C2CD0"/>
    <w:rsid w:val="001C3A80"/>
    <w:rsid w:val="001C5E6E"/>
    <w:rsid w:val="001C5F36"/>
    <w:rsid w:val="001C6424"/>
    <w:rsid w:val="001D247D"/>
    <w:rsid w:val="001D276F"/>
    <w:rsid w:val="001D27A4"/>
    <w:rsid w:val="001D3D17"/>
    <w:rsid w:val="001D3E2F"/>
    <w:rsid w:val="001D3FB0"/>
    <w:rsid w:val="001D425D"/>
    <w:rsid w:val="001D4F40"/>
    <w:rsid w:val="001D5667"/>
    <w:rsid w:val="001D732D"/>
    <w:rsid w:val="001D7C31"/>
    <w:rsid w:val="001E4E1E"/>
    <w:rsid w:val="001E7293"/>
    <w:rsid w:val="001F30DA"/>
    <w:rsid w:val="001F4B0E"/>
    <w:rsid w:val="001F6C92"/>
    <w:rsid w:val="00201E72"/>
    <w:rsid w:val="00202A14"/>
    <w:rsid w:val="00203918"/>
    <w:rsid w:val="0020621F"/>
    <w:rsid w:val="002113E3"/>
    <w:rsid w:val="002118EA"/>
    <w:rsid w:val="00215C8F"/>
    <w:rsid w:val="00216882"/>
    <w:rsid w:val="00216900"/>
    <w:rsid w:val="00217724"/>
    <w:rsid w:val="00220165"/>
    <w:rsid w:val="00220413"/>
    <w:rsid w:val="00222981"/>
    <w:rsid w:val="00223A64"/>
    <w:rsid w:val="00225B6B"/>
    <w:rsid w:val="002268C9"/>
    <w:rsid w:val="0023087D"/>
    <w:rsid w:val="002314DE"/>
    <w:rsid w:val="00234CD3"/>
    <w:rsid w:val="00235F18"/>
    <w:rsid w:val="00254A69"/>
    <w:rsid w:val="00255940"/>
    <w:rsid w:val="002565FA"/>
    <w:rsid w:val="0026389B"/>
    <w:rsid w:val="00263ACC"/>
    <w:rsid w:val="002646F9"/>
    <w:rsid w:val="0026676F"/>
    <w:rsid w:val="002668A4"/>
    <w:rsid w:val="002704A9"/>
    <w:rsid w:val="00276790"/>
    <w:rsid w:val="00277012"/>
    <w:rsid w:val="00280EA6"/>
    <w:rsid w:val="00282CD1"/>
    <w:rsid w:val="00283F11"/>
    <w:rsid w:val="002840E1"/>
    <w:rsid w:val="00284600"/>
    <w:rsid w:val="00285B2F"/>
    <w:rsid w:val="00285C80"/>
    <w:rsid w:val="0028720F"/>
    <w:rsid w:val="002872F9"/>
    <w:rsid w:val="00287BEB"/>
    <w:rsid w:val="00290805"/>
    <w:rsid w:val="0029212C"/>
    <w:rsid w:val="002925FB"/>
    <w:rsid w:val="00292BE1"/>
    <w:rsid w:val="0029329F"/>
    <w:rsid w:val="00294FD1"/>
    <w:rsid w:val="00295633"/>
    <w:rsid w:val="0029752E"/>
    <w:rsid w:val="002A0720"/>
    <w:rsid w:val="002A71FD"/>
    <w:rsid w:val="002A77C3"/>
    <w:rsid w:val="002B1835"/>
    <w:rsid w:val="002B3975"/>
    <w:rsid w:val="002B6137"/>
    <w:rsid w:val="002C02B4"/>
    <w:rsid w:val="002C0F14"/>
    <w:rsid w:val="002C1ACE"/>
    <w:rsid w:val="002C422C"/>
    <w:rsid w:val="002C49F7"/>
    <w:rsid w:val="002C4BDF"/>
    <w:rsid w:val="002C666E"/>
    <w:rsid w:val="002D09CF"/>
    <w:rsid w:val="002D29E8"/>
    <w:rsid w:val="002D46D5"/>
    <w:rsid w:val="002D51E3"/>
    <w:rsid w:val="002D7AA8"/>
    <w:rsid w:val="002E13A4"/>
    <w:rsid w:val="002E20B9"/>
    <w:rsid w:val="002E2B50"/>
    <w:rsid w:val="002E2B64"/>
    <w:rsid w:val="002E35B7"/>
    <w:rsid w:val="002E6D47"/>
    <w:rsid w:val="002E6D71"/>
    <w:rsid w:val="002E70A1"/>
    <w:rsid w:val="002E7E15"/>
    <w:rsid w:val="002F0AFD"/>
    <w:rsid w:val="002F0F27"/>
    <w:rsid w:val="002F14B2"/>
    <w:rsid w:val="002F2415"/>
    <w:rsid w:val="002F2FB7"/>
    <w:rsid w:val="002F42BF"/>
    <w:rsid w:val="002F542C"/>
    <w:rsid w:val="002F67B5"/>
    <w:rsid w:val="002F75D8"/>
    <w:rsid w:val="00302850"/>
    <w:rsid w:val="00303C22"/>
    <w:rsid w:val="00305173"/>
    <w:rsid w:val="0030571E"/>
    <w:rsid w:val="00306550"/>
    <w:rsid w:val="003078AB"/>
    <w:rsid w:val="00313DB8"/>
    <w:rsid w:val="0031618A"/>
    <w:rsid w:val="003200CF"/>
    <w:rsid w:val="003200F3"/>
    <w:rsid w:val="0032136B"/>
    <w:rsid w:val="00321835"/>
    <w:rsid w:val="003309FC"/>
    <w:rsid w:val="003311A7"/>
    <w:rsid w:val="003313C9"/>
    <w:rsid w:val="0033241B"/>
    <w:rsid w:val="00334A27"/>
    <w:rsid w:val="00337B0C"/>
    <w:rsid w:val="003404D0"/>
    <w:rsid w:val="00340DDC"/>
    <w:rsid w:val="003412E0"/>
    <w:rsid w:val="003442BA"/>
    <w:rsid w:val="0034576C"/>
    <w:rsid w:val="00346070"/>
    <w:rsid w:val="0034749A"/>
    <w:rsid w:val="00350ABE"/>
    <w:rsid w:val="003525C5"/>
    <w:rsid w:val="003537F7"/>
    <w:rsid w:val="00355ECA"/>
    <w:rsid w:val="00357CB5"/>
    <w:rsid w:val="00363CB3"/>
    <w:rsid w:val="003651D1"/>
    <w:rsid w:val="003657DB"/>
    <w:rsid w:val="00365B61"/>
    <w:rsid w:val="0036619E"/>
    <w:rsid w:val="00366FA1"/>
    <w:rsid w:val="00367565"/>
    <w:rsid w:val="003702DC"/>
    <w:rsid w:val="00370F15"/>
    <w:rsid w:val="0037274D"/>
    <w:rsid w:val="00373F93"/>
    <w:rsid w:val="003740CE"/>
    <w:rsid w:val="00374B0E"/>
    <w:rsid w:val="00377B69"/>
    <w:rsid w:val="00380A23"/>
    <w:rsid w:val="00380DE3"/>
    <w:rsid w:val="00380DFD"/>
    <w:rsid w:val="00381939"/>
    <w:rsid w:val="003819A2"/>
    <w:rsid w:val="00381A29"/>
    <w:rsid w:val="0038413B"/>
    <w:rsid w:val="003868A3"/>
    <w:rsid w:val="0039136A"/>
    <w:rsid w:val="0039323A"/>
    <w:rsid w:val="00393BFD"/>
    <w:rsid w:val="00394170"/>
    <w:rsid w:val="0039614B"/>
    <w:rsid w:val="00397C99"/>
    <w:rsid w:val="003A049F"/>
    <w:rsid w:val="003A04EB"/>
    <w:rsid w:val="003A06F6"/>
    <w:rsid w:val="003A0CB7"/>
    <w:rsid w:val="003A1AF9"/>
    <w:rsid w:val="003A27C9"/>
    <w:rsid w:val="003A3702"/>
    <w:rsid w:val="003A60E9"/>
    <w:rsid w:val="003B1D90"/>
    <w:rsid w:val="003B2166"/>
    <w:rsid w:val="003B457A"/>
    <w:rsid w:val="003B7911"/>
    <w:rsid w:val="003C1B23"/>
    <w:rsid w:val="003C3E2F"/>
    <w:rsid w:val="003C4222"/>
    <w:rsid w:val="003C586A"/>
    <w:rsid w:val="003C755C"/>
    <w:rsid w:val="003D0034"/>
    <w:rsid w:val="003D24A7"/>
    <w:rsid w:val="003D5980"/>
    <w:rsid w:val="003E0E90"/>
    <w:rsid w:val="003E31C5"/>
    <w:rsid w:val="003E3F26"/>
    <w:rsid w:val="003E6298"/>
    <w:rsid w:val="003E7536"/>
    <w:rsid w:val="003F0469"/>
    <w:rsid w:val="003F0673"/>
    <w:rsid w:val="003F3877"/>
    <w:rsid w:val="003F3A47"/>
    <w:rsid w:val="003F3C70"/>
    <w:rsid w:val="003F4315"/>
    <w:rsid w:val="003F49E8"/>
    <w:rsid w:val="00400EFA"/>
    <w:rsid w:val="00401E4D"/>
    <w:rsid w:val="0040219B"/>
    <w:rsid w:val="00403258"/>
    <w:rsid w:val="004038D8"/>
    <w:rsid w:val="00404030"/>
    <w:rsid w:val="0040489F"/>
    <w:rsid w:val="004050D1"/>
    <w:rsid w:val="00405937"/>
    <w:rsid w:val="00405F80"/>
    <w:rsid w:val="00406315"/>
    <w:rsid w:val="00406324"/>
    <w:rsid w:val="00406BA5"/>
    <w:rsid w:val="00407E01"/>
    <w:rsid w:val="004124E9"/>
    <w:rsid w:val="00413561"/>
    <w:rsid w:val="00414F02"/>
    <w:rsid w:val="004163B1"/>
    <w:rsid w:val="00420377"/>
    <w:rsid w:val="00421007"/>
    <w:rsid w:val="0042391C"/>
    <w:rsid w:val="004241CB"/>
    <w:rsid w:val="00424E2E"/>
    <w:rsid w:val="00424F9C"/>
    <w:rsid w:val="004265E8"/>
    <w:rsid w:val="00430A1C"/>
    <w:rsid w:val="00431C98"/>
    <w:rsid w:val="00434053"/>
    <w:rsid w:val="00436C12"/>
    <w:rsid w:val="0044181A"/>
    <w:rsid w:val="0044201D"/>
    <w:rsid w:val="0044339D"/>
    <w:rsid w:val="00445567"/>
    <w:rsid w:val="00445965"/>
    <w:rsid w:val="004510CC"/>
    <w:rsid w:val="004532C4"/>
    <w:rsid w:val="004569B8"/>
    <w:rsid w:val="00456A24"/>
    <w:rsid w:val="00456F8A"/>
    <w:rsid w:val="00462B4C"/>
    <w:rsid w:val="0046376C"/>
    <w:rsid w:val="00465030"/>
    <w:rsid w:val="004658A7"/>
    <w:rsid w:val="00466DDC"/>
    <w:rsid w:val="00466F39"/>
    <w:rsid w:val="00470319"/>
    <w:rsid w:val="00470C64"/>
    <w:rsid w:val="00471F2D"/>
    <w:rsid w:val="004745D3"/>
    <w:rsid w:val="0047591E"/>
    <w:rsid w:val="00487C4B"/>
    <w:rsid w:val="00493626"/>
    <w:rsid w:val="00493F63"/>
    <w:rsid w:val="00494233"/>
    <w:rsid w:val="00494BFD"/>
    <w:rsid w:val="00494DB3"/>
    <w:rsid w:val="00495023"/>
    <w:rsid w:val="00496429"/>
    <w:rsid w:val="004A19C2"/>
    <w:rsid w:val="004A25DE"/>
    <w:rsid w:val="004A2D05"/>
    <w:rsid w:val="004A2E38"/>
    <w:rsid w:val="004A31CC"/>
    <w:rsid w:val="004A5272"/>
    <w:rsid w:val="004A535A"/>
    <w:rsid w:val="004A69D5"/>
    <w:rsid w:val="004A7ECA"/>
    <w:rsid w:val="004B0350"/>
    <w:rsid w:val="004B2B10"/>
    <w:rsid w:val="004B4671"/>
    <w:rsid w:val="004B5DC8"/>
    <w:rsid w:val="004C0D6F"/>
    <w:rsid w:val="004C3BD7"/>
    <w:rsid w:val="004C51E8"/>
    <w:rsid w:val="004C70A2"/>
    <w:rsid w:val="004D03A8"/>
    <w:rsid w:val="004D096B"/>
    <w:rsid w:val="004D1DF1"/>
    <w:rsid w:val="004D262F"/>
    <w:rsid w:val="004D40C2"/>
    <w:rsid w:val="004D470C"/>
    <w:rsid w:val="004D47EB"/>
    <w:rsid w:val="004D4870"/>
    <w:rsid w:val="004D4EFF"/>
    <w:rsid w:val="004D5E76"/>
    <w:rsid w:val="004D66AF"/>
    <w:rsid w:val="004D6B64"/>
    <w:rsid w:val="004D6E6D"/>
    <w:rsid w:val="004D7EBD"/>
    <w:rsid w:val="004E155D"/>
    <w:rsid w:val="004E500B"/>
    <w:rsid w:val="004E7271"/>
    <w:rsid w:val="004F05AF"/>
    <w:rsid w:val="004F1966"/>
    <w:rsid w:val="004F2057"/>
    <w:rsid w:val="004F3448"/>
    <w:rsid w:val="004F3941"/>
    <w:rsid w:val="004F6049"/>
    <w:rsid w:val="005010AD"/>
    <w:rsid w:val="00502AF8"/>
    <w:rsid w:val="00503C86"/>
    <w:rsid w:val="00504E0D"/>
    <w:rsid w:val="00505B78"/>
    <w:rsid w:val="00505D19"/>
    <w:rsid w:val="0050601C"/>
    <w:rsid w:val="00506B10"/>
    <w:rsid w:val="00507965"/>
    <w:rsid w:val="00512536"/>
    <w:rsid w:val="00512C0A"/>
    <w:rsid w:val="00515976"/>
    <w:rsid w:val="00516653"/>
    <w:rsid w:val="005172E5"/>
    <w:rsid w:val="00517A59"/>
    <w:rsid w:val="005205A4"/>
    <w:rsid w:val="0052078D"/>
    <w:rsid w:val="00520857"/>
    <w:rsid w:val="005254FE"/>
    <w:rsid w:val="00525511"/>
    <w:rsid w:val="00526AA6"/>
    <w:rsid w:val="005273D8"/>
    <w:rsid w:val="005279D8"/>
    <w:rsid w:val="005303C9"/>
    <w:rsid w:val="005309E0"/>
    <w:rsid w:val="005316A8"/>
    <w:rsid w:val="00531F8D"/>
    <w:rsid w:val="0053246E"/>
    <w:rsid w:val="0053597A"/>
    <w:rsid w:val="00536FEA"/>
    <w:rsid w:val="00537E7D"/>
    <w:rsid w:val="00537FB4"/>
    <w:rsid w:val="0054150D"/>
    <w:rsid w:val="00542B64"/>
    <w:rsid w:val="005462DE"/>
    <w:rsid w:val="0055085A"/>
    <w:rsid w:val="00551902"/>
    <w:rsid w:val="00553B7F"/>
    <w:rsid w:val="0055645B"/>
    <w:rsid w:val="005616DB"/>
    <w:rsid w:val="0056238E"/>
    <w:rsid w:val="00562B42"/>
    <w:rsid w:val="00562D73"/>
    <w:rsid w:val="005630CD"/>
    <w:rsid w:val="00563A37"/>
    <w:rsid w:val="00564CA6"/>
    <w:rsid w:val="005651BC"/>
    <w:rsid w:val="0056571B"/>
    <w:rsid w:val="005661E4"/>
    <w:rsid w:val="00567987"/>
    <w:rsid w:val="00570850"/>
    <w:rsid w:val="00573073"/>
    <w:rsid w:val="00574983"/>
    <w:rsid w:val="00575794"/>
    <w:rsid w:val="00576C6B"/>
    <w:rsid w:val="00577C1C"/>
    <w:rsid w:val="00581F71"/>
    <w:rsid w:val="0058328B"/>
    <w:rsid w:val="0058328D"/>
    <w:rsid w:val="0058390E"/>
    <w:rsid w:val="00583AF6"/>
    <w:rsid w:val="00586CA4"/>
    <w:rsid w:val="00587761"/>
    <w:rsid w:val="00590A68"/>
    <w:rsid w:val="005910A0"/>
    <w:rsid w:val="0059119B"/>
    <w:rsid w:val="00591C6A"/>
    <w:rsid w:val="0059232E"/>
    <w:rsid w:val="005929C1"/>
    <w:rsid w:val="00592F14"/>
    <w:rsid w:val="0059484A"/>
    <w:rsid w:val="00594BC1"/>
    <w:rsid w:val="005977DE"/>
    <w:rsid w:val="005A2780"/>
    <w:rsid w:val="005A32A1"/>
    <w:rsid w:val="005A4799"/>
    <w:rsid w:val="005A5F19"/>
    <w:rsid w:val="005A677B"/>
    <w:rsid w:val="005A6C67"/>
    <w:rsid w:val="005A7E94"/>
    <w:rsid w:val="005B06D1"/>
    <w:rsid w:val="005B17E6"/>
    <w:rsid w:val="005B3836"/>
    <w:rsid w:val="005B4CEB"/>
    <w:rsid w:val="005B6226"/>
    <w:rsid w:val="005C00A5"/>
    <w:rsid w:val="005C0879"/>
    <w:rsid w:val="005C1CDF"/>
    <w:rsid w:val="005C211C"/>
    <w:rsid w:val="005C56BB"/>
    <w:rsid w:val="005C60B8"/>
    <w:rsid w:val="005C6410"/>
    <w:rsid w:val="005C6E53"/>
    <w:rsid w:val="005D3BA4"/>
    <w:rsid w:val="005D4B89"/>
    <w:rsid w:val="005D4EEF"/>
    <w:rsid w:val="005D6890"/>
    <w:rsid w:val="005D6BA6"/>
    <w:rsid w:val="005D7F36"/>
    <w:rsid w:val="005E28C6"/>
    <w:rsid w:val="005E2FBC"/>
    <w:rsid w:val="005E6F90"/>
    <w:rsid w:val="005E7F24"/>
    <w:rsid w:val="005F138C"/>
    <w:rsid w:val="005F196D"/>
    <w:rsid w:val="005F3AA5"/>
    <w:rsid w:val="005F5712"/>
    <w:rsid w:val="005F5AFD"/>
    <w:rsid w:val="00601902"/>
    <w:rsid w:val="00601B1A"/>
    <w:rsid w:val="00601B29"/>
    <w:rsid w:val="0060273A"/>
    <w:rsid w:val="00603F06"/>
    <w:rsid w:val="00606E06"/>
    <w:rsid w:val="0060785B"/>
    <w:rsid w:val="00607A18"/>
    <w:rsid w:val="00611210"/>
    <w:rsid w:val="00611C5C"/>
    <w:rsid w:val="006131CF"/>
    <w:rsid w:val="006154DD"/>
    <w:rsid w:val="00620B65"/>
    <w:rsid w:val="006216C0"/>
    <w:rsid w:val="00621AA0"/>
    <w:rsid w:val="0062515A"/>
    <w:rsid w:val="006262BC"/>
    <w:rsid w:val="0062650C"/>
    <w:rsid w:val="00626DC6"/>
    <w:rsid w:val="00627154"/>
    <w:rsid w:val="00627571"/>
    <w:rsid w:val="00627900"/>
    <w:rsid w:val="00632828"/>
    <w:rsid w:val="00633817"/>
    <w:rsid w:val="00635365"/>
    <w:rsid w:val="00636681"/>
    <w:rsid w:val="006379DF"/>
    <w:rsid w:val="0064027F"/>
    <w:rsid w:val="00640AF6"/>
    <w:rsid w:val="00644391"/>
    <w:rsid w:val="0064627E"/>
    <w:rsid w:val="00651196"/>
    <w:rsid w:val="00651354"/>
    <w:rsid w:val="00651914"/>
    <w:rsid w:val="00653028"/>
    <w:rsid w:val="00653AC1"/>
    <w:rsid w:val="00656605"/>
    <w:rsid w:val="006570F1"/>
    <w:rsid w:val="00657143"/>
    <w:rsid w:val="00657E60"/>
    <w:rsid w:val="00662B13"/>
    <w:rsid w:val="006655A5"/>
    <w:rsid w:val="00665A09"/>
    <w:rsid w:val="00665D84"/>
    <w:rsid w:val="0066634E"/>
    <w:rsid w:val="00667F68"/>
    <w:rsid w:val="00670BC0"/>
    <w:rsid w:val="0067289D"/>
    <w:rsid w:val="006737A2"/>
    <w:rsid w:val="00675EB7"/>
    <w:rsid w:val="00676D0F"/>
    <w:rsid w:val="006825A2"/>
    <w:rsid w:val="006830A9"/>
    <w:rsid w:val="00692066"/>
    <w:rsid w:val="00693A6F"/>
    <w:rsid w:val="00694481"/>
    <w:rsid w:val="0069451F"/>
    <w:rsid w:val="00695BF2"/>
    <w:rsid w:val="006A02CC"/>
    <w:rsid w:val="006A092B"/>
    <w:rsid w:val="006A32E6"/>
    <w:rsid w:val="006A381D"/>
    <w:rsid w:val="006A69FA"/>
    <w:rsid w:val="006A6A69"/>
    <w:rsid w:val="006A7961"/>
    <w:rsid w:val="006B1C65"/>
    <w:rsid w:val="006B4352"/>
    <w:rsid w:val="006B4755"/>
    <w:rsid w:val="006B7489"/>
    <w:rsid w:val="006C0841"/>
    <w:rsid w:val="006C0B06"/>
    <w:rsid w:val="006C2A30"/>
    <w:rsid w:val="006C4626"/>
    <w:rsid w:val="006C7101"/>
    <w:rsid w:val="006D09F1"/>
    <w:rsid w:val="006D4530"/>
    <w:rsid w:val="006D48DA"/>
    <w:rsid w:val="006D5628"/>
    <w:rsid w:val="006D65A0"/>
    <w:rsid w:val="006D6A0F"/>
    <w:rsid w:val="006D6B5D"/>
    <w:rsid w:val="006E180A"/>
    <w:rsid w:val="006E18F3"/>
    <w:rsid w:val="006E2838"/>
    <w:rsid w:val="006E2CAD"/>
    <w:rsid w:val="006E2FF1"/>
    <w:rsid w:val="006E33C8"/>
    <w:rsid w:val="006E408A"/>
    <w:rsid w:val="006E58B0"/>
    <w:rsid w:val="006E632E"/>
    <w:rsid w:val="006E7F26"/>
    <w:rsid w:val="006F010B"/>
    <w:rsid w:val="006F0A5F"/>
    <w:rsid w:val="006F2E01"/>
    <w:rsid w:val="006F3695"/>
    <w:rsid w:val="006F3F9A"/>
    <w:rsid w:val="006F49A4"/>
    <w:rsid w:val="00700553"/>
    <w:rsid w:val="00700B4E"/>
    <w:rsid w:val="00700F42"/>
    <w:rsid w:val="00702F1D"/>
    <w:rsid w:val="00703553"/>
    <w:rsid w:val="007037E8"/>
    <w:rsid w:val="0070765B"/>
    <w:rsid w:val="00711FAA"/>
    <w:rsid w:val="00712E77"/>
    <w:rsid w:val="00712FC9"/>
    <w:rsid w:val="0071398C"/>
    <w:rsid w:val="00715C38"/>
    <w:rsid w:val="00717C89"/>
    <w:rsid w:val="00721048"/>
    <w:rsid w:val="0072272E"/>
    <w:rsid w:val="00723148"/>
    <w:rsid w:val="00724831"/>
    <w:rsid w:val="00726CA9"/>
    <w:rsid w:val="0072706B"/>
    <w:rsid w:val="00727FD4"/>
    <w:rsid w:val="00733D57"/>
    <w:rsid w:val="00733EB2"/>
    <w:rsid w:val="00734DFE"/>
    <w:rsid w:val="007353ED"/>
    <w:rsid w:val="007355C3"/>
    <w:rsid w:val="00736837"/>
    <w:rsid w:val="0073752E"/>
    <w:rsid w:val="00737891"/>
    <w:rsid w:val="00737E1A"/>
    <w:rsid w:val="00741E01"/>
    <w:rsid w:val="00745499"/>
    <w:rsid w:val="00746B48"/>
    <w:rsid w:val="0074770B"/>
    <w:rsid w:val="00747B66"/>
    <w:rsid w:val="007552C2"/>
    <w:rsid w:val="0075596E"/>
    <w:rsid w:val="00756DCC"/>
    <w:rsid w:val="00761256"/>
    <w:rsid w:val="0076175A"/>
    <w:rsid w:val="0076177C"/>
    <w:rsid w:val="00763468"/>
    <w:rsid w:val="00764D56"/>
    <w:rsid w:val="0076671D"/>
    <w:rsid w:val="00766F2E"/>
    <w:rsid w:val="00767577"/>
    <w:rsid w:val="007726C1"/>
    <w:rsid w:val="00774932"/>
    <w:rsid w:val="00774AE3"/>
    <w:rsid w:val="00777D08"/>
    <w:rsid w:val="0078301B"/>
    <w:rsid w:val="007831A2"/>
    <w:rsid w:val="00787949"/>
    <w:rsid w:val="0079018A"/>
    <w:rsid w:val="0079101D"/>
    <w:rsid w:val="007912A2"/>
    <w:rsid w:val="00793627"/>
    <w:rsid w:val="0079485A"/>
    <w:rsid w:val="0079539C"/>
    <w:rsid w:val="00795BE3"/>
    <w:rsid w:val="00795DE9"/>
    <w:rsid w:val="007A478F"/>
    <w:rsid w:val="007A4A07"/>
    <w:rsid w:val="007A6E8A"/>
    <w:rsid w:val="007B08A8"/>
    <w:rsid w:val="007B307E"/>
    <w:rsid w:val="007B3A15"/>
    <w:rsid w:val="007B3D57"/>
    <w:rsid w:val="007B6F06"/>
    <w:rsid w:val="007B75EA"/>
    <w:rsid w:val="007C2BA2"/>
    <w:rsid w:val="007C2F6D"/>
    <w:rsid w:val="007C650C"/>
    <w:rsid w:val="007C6D56"/>
    <w:rsid w:val="007D112C"/>
    <w:rsid w:val="007D3F4E"/>
    <w:rsid w:val="007D4B5F"/>
    <w:rsid w:val="007D58CB"/>
    <w:rsid w:val="007D6FDF"/>
    <w:rsid w:val="007E041A"/>
    <w:rsid w:val="007E406E"/>
    <w:rsid w:val="007E442B"/>
    <w:rsid w:val="007E598B"/>
    <w:rsid w:val="007E5F1F"/>
    <w:rsid w:val="007F13AE"/>
    <w:rsid w:val="007F1E76"/>
    <w:rsid w:val="007F535F"/>
    <w:rsid w:val="0080594E"/>
    <w:rsid w:val="00812FFF"/>
    <w:rsid w:val="0081381C"/>
    <w:rsid w:val="00815461"/>
    <w:rsid w:val="00815ECA"/>
    <w:rsid w:val="00816938"/>
    <w:rsid w:val="00816D47"/>
    <w:rsid w:val="00817DAE"/>
    <w:rsid w:val="00820D8B"/>
    <w:rsid w:val="00821E89"/>
    <w:rsid w:val="0082286C"/>
    <w:rsid w:val="00824E1D"/>
    <w:rsid w:val="00826C91"/>
    <w:rsid w:val="008276FF"/>
    <w:rsid w:val="00827976"/>
    <w:rsid w:val="00830674"/>
    <w:rsid w:val="008316B2"/>
    <w:rsid w:val="00832ADF"/>
    <w:rsid w:val="00833E6A"/>
    <w:rsid w:val="008341A5"/>
    <w:rsid w:val="00834D9E"/>
    <w:rsid w:val="00835F2A"/>
    <w:rsid w:val="0083616E"/>
    <w:rsid w:val="00836403"/>
    <w:rsid w:val="00837034"/>
    <w:rsid w:val="00837D61"/>
    <w:rsid w:val="00841C26"/>
    <w:rsid w:val="00843079"/>
    <w:rsid w:val="00843CCC"/>
    <w:rsid w:val="00844C4C"/>
    <w:rsid w:val="00844C99"/>
    <w:rsid w:val="0084580C"/>
    <w:rsid w:val="00846B1D"/>
    <w:rsid w:val="008473BE"/>
    <w:rsid w:val="00854114"/>
    <w:rsid w:val="008541B5"/>
    <w:rsid w:val="00855805"/>
    <w:rsid w:val="008571B7"/>
    <w:rsid w:val="008605FB"/>
    <w:rsid w:val="00860935"/>
    <w:rsid w:val="008612EC"/>
    <w:rsid w:val="00863013"/>
    <w:rsid w:val="00864480"/>
    <w:rsid w:val="0086495C"/>
    <w:rsid w:val="008709B2"/>
    <w:rsid w:val="0087303B"/>
    <w:rsid w:val="00874DED"/>
    <w:rsid w:val="0088097F"/>
    <w:rsid w:val="00881F32"/>
    <w:rsid w:val="008825E3"/>
    <w:rsid w:val="00883F6E"/>
    <w:rsid w:val="008849D0"/>
    <w:rsid w:val="00886BBA"/>
    <w:rsid w:val="00887E65"/>
    <w:rsid w:val="008903D6"/>
    <w:rsid w:val="0089195B"/>
    <w:rsid w:val="00891E2A"/>
    <w:rsid w:val="008928E9"/>
    <w:rsid w:val="00893C0A"/>
    <w:rsid w:val="00894FFD"/>
    <w:rsid w:val="00895AA3"/>
    <w:rsid w:val="0089736C"/>
    <w:rsid w:val="008A2711"/>
    <w:rsid w:val="008A4C06"/>
    <w:rsid w:val="008A784B"/>
    <w:rsid w:val="008B0881"/>
    <w:rsid w:val="008B0BD3"/>
    <w:rsid w:val="008B1992"/>
    <w:rsid w:val="008B3FA0"/>
    <w:rsid w:val="008B3FE6"/>
    <w:rsid w:val="008B6685"/>
    <w:rsid w:val="008B7479"/>
    <w:rsid w:val="008C02DC"/>
    <w:rsid w:val="008C07E5"/>
    <w:rsid w:val="008C0EDB"/>
    <w:rsid w:val="008C1BCE"/>
    <w:rsid w:val="008C1D41"/>
    <w:rsid w:val="008C1D92"/>
    <w:rsid w:val="008C230B"/>
    <w:rsid w:val="008C25E9"/>
    <w:rsid w:val="008C3090"/>
    <w:rsid w:val="008C6D61"/>
    <w:rsid w:val="008D0EEE"/>
    <w:rsid w:val="008D3809"/>
    <w:rsid w:val="008D4C14"/>
    <w:rsid w:val="008D7FEF"/>
    <w:rsid w:val="008E054A"/>
    <w:rsid w:val="008E06DB"/>
    <w:rsid w:val="008E07C1"/>
    <w:rsid w:val="008E2922"/>
    <w:rsid w:val="008E3704"/>
    <w:rsid w:val="008E3F31"/>
    <w:rsid w:val="008E4ABC"/>
    <w:rsid w:val="008E7075"/>
    <w:rsid w:val="008E70EB"/>
    <w:rsid w:val="008F0799"/>
    <w:rsid w:val="008F17FC"/>
    <w:rsid w:val="008F1A18"/>
    <w:rsid w:val="008F3944"/>
    <w:rsid w:val="0090191B"/>
    <w:rsid w:val="00902048"/>
    <w:rsid w:val="00903718"/>
    <w:rsid w:val="00904A59"/>
    <w:rsid w:val="00905D80"/>
    <w:rsid w:val="0090760F"/>
    <w:rsid w:val="00911520"/>
    <w:rsid w:val="00913450"/>
    <w:rsid w:val="009154FC"/>
    <w:rsid w:val="00915F1D"/>
    <w:rsid w:val="00917307"/>
    <w:rsid w:val="00917B4C"/>
    <w:rsid w:val="00920B61"/>
    <w:rsid w:val="00920DFC"/>
    <w:rsid w:val="00921589"/>
    <w:rsid w:val="00922B4C"/>
    <w:rsid w:val="00923195"/>
    <w:rsid w:val="009275AF"/>
    <w:rsid w:val="009329A8"/>
    <w:rsid w:val="0093378E"/>
    <w:rsid w:val="00933E3A"/>
    <w:rsid w:val="009340CF"/>
    <w:rsid w:val="00935651"/>
    <w:rsid w:val="00935690"/>
    <w:rsid w:val="00937A9F"/>
    <w:rsid w:val="00940292"/>
    <w:rsid w:val="009404DB"/>
    <w:rsid w:val="00940651"/>
    <w:rsid w:val="00943C28"/>
    <w:rsid w:val="00943E1D"/>
    <w:rsid w:val="00944BB9"/>
    <w:rsid w:val="009521CA"/>
    <w:rsid w:val="00954D29"/>
    <w:rsid w:val="0095584B"/>
    <w:rsid w:val="00957B05"/>
    <w:rsid w:val="0096000D"/>
    <w:rsid w:val="009644B7"/>
    <w:rsid w:val="00966C85"/>
    <w:rsid w:val="009676EF"/>
    <w:rsid w:val="00967F17"/>
    <w:rsid w:val="00970488"/>
    <w:rsid w:val="00970998"/>
    <w:rsid w:val="00970ECF"/>
    <w:rsid w:val="009721D0"/>
    <w:rsid w:val="00975215"/>
    <w:rsid w:val="009770BC"/>
    <w:rsid w:val="009779B2"/>
    <w:rsid w:val="00977FDC"/>
    <w:rsid w:val="00980B31"/>
    <w:rsid w:val="0098182A"/>
    <w:rsid w:val="00981F3F"/>
    <w:rsid w:val="009828CA"/>
    <w:rsid w:val="00983F53"/>
    <w:rsid w:val="009847FF"/>
    <w:rsid w:val="00985431"/>
    <w:rsid w:val="00990422"/>
    <w:rsid w:val="0099183D"/>
    <w:rsid w:val="00993B77"/>
    <w:rsid w:val="00994921"/>
    <w:rsid w:val="009954C1"/>
    <w:rsid w:val="0099683A"/>
    <w:rsid w:val="00997B74"/>
    <w:rsid w:val="009A0934"/>
    <w:rsid w:val="009A11DE"/>
    <w:rsid w:val="009A1AD8"/>
    <w:rsid w:val="009A1EF9"/>
    <w:rsid w:val="009A3205"/>
    <w:rsid w:val="009A48FA"/>
    <w:rsid w:val="009A56B4"/>
    <w:rsid w:val="009A5F49"/>
    <w:rsid w:val="009A6CDC"/>
    <w:rsid w:val="009A754D"/>
    <w:rsid w:val="009A76E4"/>
    <w:rsid w:val="009A799D"/>
    <w:rsid w:val="009B1FD8"/>
    <w:rsid w:val="009B378B"/>
    <w:rsid w:val="009B73B0"/>
    <w:rsid w:val="009B78E1"/>
    <w:rsid w:val="009B7A3F"/>
    <w:rsid w:val="009C1C68"/>
    <w:rsid w:val="009C3575"/>
    <w:rsid w:val="009C4306"/>
    <w:rsid w:val="009C4691"/>
    <w:rsid w:val="009D28EB"/>
    <w:rsid w:val="009D2C1A"/>
    <w:rsid w:val="009D2EED"/>
    <w:rsid w:val="009D36CB"/>
    <w:rsid w:val="009D48A8"/>
    <w:rsid w:val="009D60D1"/>
    <w:rsid w:val="009D7457"/>
    <w:rsid w:val="009E075B"/>
    <w:rsid w:val="009E1601"/>
    <w:rsid w:val="009E1D28"/>
    <w:rsid w:val="009E22FE"/>
    <w:rsid w:val="009E2F32"/>
    <w:rsid w:val="009E3F67"/>
    <w:rsid w:val="009E5CEF"/>
    <w:rsid w:val="009E67F8"/>
    <w:rsid w:val="009E7465"/>
    <w:rsid w:val="009F00AC"/>
    <w:rsid w:val="009F08A3"/>
    <w:rsid w:val="009F08D2"/>
    <w:rsid w:val="009F5ED3"/>
    <w:rsid w:val="009F69C2"/>
    <w:rsid w:val="009F6DB8"/>
    <w:rsid w:val="00A00212"/>
    <w:rsid w:val="00A0043E"/>
    <w:rsid w:val="00A01159"/>
    <w:rsid w:val="00A03DDB"/>
    <w:rsid w:val="00A0604C"/>
    <w:rsid w:val="00A066CA"/>
    <w:rsid w:val="00A06D52"/>
    <w:rsid w:val="00A06DA8"/>
    <w:rsid w:val="00A077F6"/>
    <w:rsid w:val="00A1071A"/>
    <w:rsid w:val="00A11BAB"/>
    <w:rsid w:val="00A1238D"/>
    <w:rsid w:val="00A13F0E"/>
    <w:rsid w:val="00A1587E"/>
    <w:rsid w:val="00A15FA8"/>
    <w:rsid w:val="00A2022A"/>
    <w:rsid w:val="00A20E5E"/>
    <w:rsid w:val="00A22C7B"/>
    <w:rsid w:val="00A255DD"/>
    <w:rsid w:val="00A26E86"/>
    <w:rsid w:val="00A32A65"/>
    <w:rsid w:val="00A33782"/>
    <w:rsid w:val="00A35937"/>
    <w:rsid w:val="00A40308"/>
    <w:rsid w:val="00A40A8A"/>
    <w:rsid w:val="00A40B02"/>
    <w:rsid w:val="00A43843"/>
    <w:rsid w:val="00A43BAF"/>
    <w:rsid w:val="00A45C7E"/>
    <w:rsid w:val="00A461F2"/>
    <w:rsid w:val="00A46878"/>
    <w:rsid w:val="00A46C03"/>
    <w:rsid w:val="00A5082B"/>
    <w:rsid w:val="00A5087A"/>
    <w:rsid w:val="00A5227E"/>
    <w:rsid w:val="00A52CD9"/>
    <w:rsid w:val="00A61039"/>
    <w:rsid w:val="00A61FD6"/>
    <w:rsid w:val="00A65777"/>
    <w:rsid w:val="00A6616D"/>
    <w:rsid w:val="00A71100"/>
    <w:rsid w:val="00A71B59"/>
    <w:rsid w:val="00A72C4C"/>
    <w:rsid w:val="00A734E1"/>
    <w:rsid w:val="00A73DF5"/>
    <w:rsid w:val="00A74206"/>
    <w:rsid w:val="00A74C0A"/>
    <w:rsid w:val="00A75220"/>
    <w:rsid w:val="00A75928"/>
    <w:rsid w:val="00A75E4E"/>
    <w:rsid w:val="00A76CE5"/>
    <w:rsid w:val="00A77615"/>
    <w:rsid w:val="00A779C4"/>
    <w:rsid w:val="00A80B55"/>
    <w:rsid w:val="00A81569"/>
    <w:rsid w:val="00A82EC8"/>
    <w:rsid w:val="00A82F89"/>
    <w:rsid w:val="00A83320"/>
    <w:rsid w:val="00A8527B"/>
    <w:rsid w:val="00A8587A"/>
    <w:rsid w:val="00A85901"/>
    <w:rsid w:val="00A91EC0"/>
    <w:rsid w:val="00A93822"/>
    <w:rsid w:val="00A94549"/>
    <w:rsid w:val="00A94C97"/>
    <w:rsid w:val="00A95395"/>
    <w:rsid w:val="00A955ED"/>
    <w:rsid w:val="00A977B3"/>
    <w:rsid w:val="00A97B98"/>
    <w:rsid w:val="00AA0A7C"/>
    <w:rsid w:val="00AA15A8"/>
    <w:rsid w:val="00AA1641"/>
    <w:rsid w:val="00AA332B"/>
    <w:rsid w:val="00AA3920"/>
    <w:rsid w:val="00AA3B82"/>
    <w:rsid w:val="00AA4246"/>
    <w:rsid w:val="00AA4D6D"/>
    <w:rsid w:val="00AA5C69"/>
    <w:rsid w:val="00AA5E2C"/>
    <w:rsid w:val="00AA5F95"/>
    <w:rsid w:val="00AA771B"/>
    <w:rsid w:val="00AB10E5"/>
    <w:rsid w:val="00AB1F71"/>
    <w:rsid w:val="00AB565D"/>
    <w:rsid w:val="00AB5677"/>
    <w:rsid w:val="00AB5FDD"/>
    <w:rsid w:val="00AB73B7"/>
    <w:rsid w:val="00AC1383"/>
    <w:rsid w:val="00AC6582"/>
    <w:rsid w:val="00AC6901"/>
    <w:rsid w:val="00AC74A5"/>
    <w:rsid w:val="00AC7BF5"/>
    <w:rsid w:val="00AD0D2E"/>
    <w:rsid w:val="00AD13DC"/>
    <w:rsid w:val="00AD142D"/>
    <w:rsid w:val="00AD23DB"/>
    <w:rsid w:val="00AD3136"/>
    <w:rsid w:val="00AD638B"/>
    <w:rsid w:val="00AD746A"/>
    <w:rsid w:val="00AD759A"/>
    <w:rsid w:val="00AE0B63"/>
    <w:rsid w:val="00AE1331"/>
    <w:rsid w:val="00AE1B54"/>
    <w:rsid w:val="00AE2B34"/>
    <w:rsid w:val="00AE3218"/>
    <w:rsid w:val="00AE34FC"/>
    <w:rsid w:val="00AE4684"/>
    <w:rsid w:val="00AE5823"/>
    <w:rsid w:val="00AE5B8A"/>
    <w:rsid w:val="00AE7DD7"/>
    <w:rsid w:val="00AF5C0D"/>
    <w:rsid w:val="00AF69AD"/>
    <w:rsid w:val="00B00F71"/>
    <w:rsid w:val="00B016F3"/>
    <w:rsid w:val="00B03B87"/>
    <w:rsid w:val="00B04C6A"/>
    <w:rsid w:val="00B14D3D"/>
    <w:rsid w:val="00B154B7"/>
    <w:rsid w:val="00B15680"/>
    <w:rsid w:val="00B174DE"/>
    <w:rsid w:val="00B20884"/>
    <w:rsid w:val="00B20BF3"/>
    <w:rsid w:val="00B2364C"/>
    <w:rsid w:val="00B240F4"/>
    <w:rsid w:val="00B25698"/>
    <w:rsid w:val="00B25DD3"/>
    <w:rsid w:val="00B262F2"/>
    <w:rsid w:val="00B3045A"/>
    <w:rsid w:val="00B3101E"/>
    <w:rsid w:val="00B32623"/>
    <w:rsid w:val="00B347FD"/>
    <w:rsid w:val="00B3525D"/>
    <w:rsid w:val="00B352F1"/>
    <w:rsid w:val="00B37DEE"/>
    <w:rsid w:val="00B37E26"/>
    <w:rsid w:val="00B4096A"/>
    <w:rsid w:val="00B40A13"/>
    <w:rsid w:val="00B42CD7"/>
    <w:rsid w:val="00B43D0E"/>
    <w:rsid w:val="00B44B2C"/>
    <w:rsid w:val="00B45541"/>
    <w:rsid w:val="00B45960"/>
    <w:rsid w:val="00B45E77"/>
    <w:rsid w:val="00B466C1"/>
    <w:rsid w:val="00B46C89"/>
    <w:rsid w:val="00B549D4"/>
    <w:rsid w:val="00B610C9"/>
    <w:rsid w:val="00B629DE"/>
    <w:rsid w:val="00B633E9"/>
    <w:rsid w:val="00B634FF"/>
    <w:rsid w:val="00B63697"/>
    <w:rsid w:val="00B6403B"/>
    <w:rsid w:val="00B66C72"/>
    <w:rsid w:val="00B67B39"/>
    <w:rsid w:val="00B7290F"/>
    <w:rsid w:val="00B72DBB"/>
    <w:rsid w:val="00B74805"/>
    <w:rsid w:val="00B7666B"/>
    <w:rsid w:val="00B80487"/>
    <w:rsid w:val="00B81BB6"/>
    <w:rsid w:val="00B8476B"/>
    <w:rsid w:val="00B851F9"/>
    <w:rsid w:val="00B853E4"/>
    <w:rsid w:val="00B85CFB"/>
    <w:rsid w:val="00B9115E"/>
    <w:rsid w:val="00B920E1"/>
    <w:rsid w:val="00B9344C"/>
    <w:rsid w:val="00B948BB"/>
    <w:rsid w:val="00B94ECD"/>
    <w:rsid w:val="00B97DB7"/>
    <w:rsid w:val="00BA1B31"/>
    <w:rsid w:val="00BA202E"/>
    <w:rsid w:val="00BA2E60"/>
    <w:rsid w:val="00BA2ECA"/>
    <w:rsid w:val="00BA4985"/>
    <w:rsid w:val="00BA4F71"/>
    <w:rsid w:val="00BA72EA"/>
    <w:rsid w:val="00BA751F"/>
    <w:rsid w:val="00BA7CD5"/>
    <w:rsid w:val="00BB19AD"/>
    <w:rsid w:val="00BB2C12"/>
    <w:rsid w:val="00BB3AFC"/>
    <w:rsid w:val="00BB46F2"/>
    <w:rsid w:val="00BB566E"/>
    <w:rsid w:val="00BB7424"/>
    <w:rsid w:val="00BB753F"/>
    <w:rsid w:val="00BB77A4"/>
    <w:rsid w:val="00BC09A1"/>
    <w:rsid w:val="00BC0ECA"/>
    <w:rsid w:val="00BC1039"/>
    <w:rsid w:val="00BC351F"/>
    <w:rsid w:val="00BC7ED1"/>
    <w:rsid w:val="00BD1F8C"/>
    <w:rsid w:val="00BD20E5"/>
    <w:rsid w:val="00BD2AAD"/>
    <w:rsid w:val="00BD4469"/>
    <w:rsid w:val="00BD5C81"/>
    <w:rsid w:val="00BE1E2A"/>
    <w:rsid w:val="00BE251E"/>
    <w:rsid w:val="00BE2D1D"/>
    <w:rsid w:val="00BE3597"/>
    <w:rsid w:val="00BE39BE"/>
    <w:rsid w:val="00BE41A7"/>
    <w:rsid w:val="00BE5272"/>
    <w:rsid w:val="00BE6E77"/>
    <w:rsid w:val="00BF1205"/>
    <w:rsid w:val="00BF33DA"/>
    <w:rsid w:val="00BF3A93"/>
    <w:rsid w:val="00BF3EF1"/>
    <w:rsid w:val="00BF3FD2"/>
    <w:rsid w:val="00BF429A"/>
    <w:rsid w:val="00BF549D"/>
    <w:rsid w:val="00BF68BB"/>
    <w:rsid w:val="00BF6CCD"/>
    <w:rsid w:val="00C00F89"/>
    <w:rsid w:val="00C04432"/>
    <w:rsid w:val="00C04694"/>
    <w:rsid w:val="00C06382"/>
    <w:rsid w:val="00C068F0"/>
    <w:rsid w:val="00C06972"/>
    <w:rsid w:val="00C070FD"/>
    <w:rsid w:val="00C16393"/>
    <w:rsid w:val="00C17097"/>
    <w:rsid w:val="00C22D3E"/>
    <w:rsid w:val="00C241D9"/>
    <w:rsid w:val="00C24F46"/>
    <w:rsid w:val="00C24F5A"/>
    <w:rsid w:val="00C25837"/>
    <w:rsid w:val="00C25F6A"/>
    <w:rsid w:val="00C26755"/>
    <w:rsid w:val="00C27945"/>
    <w:rsid w:val="00C30655"/>
    <w:rsid w:val="00C320FF"/>
    <w:rsid w:val="00C32768"/>
    <w:rsid w:val="00C3389D"/>
    <w:rsid w:val="00C34009"/>
    <w:rsid w:val="00C349D7"/>
    <w:rsid w:val="00C34ACC"/>
    <w:rsid w:val="00C34FB2"/>
    <w:rsid w:val="00C36416"/>
    <w:rsid w:val="00C410FF"/>
    <w:rsid w:val="00C413FE"/>
    <w:rsid w:val="00C43060"/>
    <w:rsid w:val="00C448CD"/>
    <w:rsid w:val="00C457B9"/>
    <w:rsid w:val="00C46696"/>
    <w:rsid w:val="00C46E75"/>
    <w:rsid w:val="00C5121E"/>
    <w:rsid w:val="00C513FA"/>
    <w:rsid w:val="00C5304A"/>
    <w:rsid w:val="00C5318D"/>
    <w:rsid w:val="00C536B6"/>
    <w:rsid w:val="00C548D4"/>
    <w:rsid w:val="00C55E96"/>
    <w:rsid w:val="00C60038"/>
    <w:rsid w:val="00C60046"/>
    <w:rsid w:val="00C65CBE"/>
    <w:rsid w:val="00C65FE4"/>
    <w:rsid w:val="00C66945"/>
    <w:rsid w:val="00C6723A"/>
    <w:rsid w:val="00C71775"/>
    <w:rsid w:val="00C71F10"/>
    <w:rsid w:val="00C72ED7"/>
    <w:rsid w:val="00C73AF5"/>
    <w:rsid w:val="00C758E9"/>
    <w:rsid w:val="00C75C79"/>
    <w:rsid w:val="00C75D70"/>
    <w:rsid w:val="00C77EF6"/>
    <w:rsid w:val="00C80000"/>
    <w:rsid w:val="00C80211"/>
    <w:rsid w:val="00C8161C"/>
    <w:rsid w:val="00C8188B"/>
    <w:rsid w:val="00C83539"/>
    <w:rsid w:val="00C837E6"/>
    <w:rsid w:val="00C8457E"/>
    <w:rsid w:val="00C869FD"/>
    <w:rsid w:val="00C876B4"/>
    <w:rsid w:val="00C9132A"/>
    <w:rsid w:val="00C917CD"/>
    <w:rsid w:val="00C91AF9"/>
    <w:rsid w:val="00C91D4A"/>
    <w:rsid w:val="00C9365E"/>
    <w:rsid w:val="00C93F47"/>
    <w:rsid w:val="00C94378"/>
    <w:rsid w:val="00C94FF8"/>
    <w:rsid w:val="00C95BE5"/>
    <w:rsid w:val="00C974BA"/>
    <w:rsid w:val="00C97D8E"/>
    <w:rsid w:val="00C97F2B"/>
    <w:rsid w:val="00CA0B07"/>
    <w:rsid w:val="00CA2B8D"/>
    <w:rsid w:val="00CA3229"/>
    <w:rsid w:val="00CB13FC"/>
    <w:rsid w:val="00CB1AA4"/>
    <w:rsid w:val="00CB1DC4"/>
    <w:rsid w:val="00CB45F2"/>
    <w:rsid w:val="00CB48E0"/>
    <w:rsid w:val="00CB6EF8"/>
    <w:rsid w:val="00CC2F8A"/>
    <w:rsid w:val="00CC5885"/>
    <w:rsid w:val="00CC59BE"/>
    <w:rsid w:val="00CC7F0F"/>
    <w:rsid w:val="00CD2DC4"/>
    <w:rsid w:val="00CD30D7"/>
    <w:rsid w:val="00CD4984"/>
    <w:rsid w:val="00CD62E2"/>
    <w:rsid w:val="00CD70DA"/>
    <w:rsid w:val="00CE0E71"/>
    <w:rsid w:val="00CE2A3C"/>
    <w:rsid w:val="00CE3065"/>
    <w:rsid w:val="00CE333A"/>
    <w:rsid w:val="00CE3843"/>
    <w:rsid w:val="00CE4AFA"/>
    <w:rsid w:val="00CE4BBB"/>
    <w:rsid w:val="00CE4F9A"/>
    <w:rsid w:val="00CE5C32"/>
    <w:rsid w:val="00CF1129"/>
    <w:rsid w:val="00CF1E78"/>
    <w:rsid w:val="00CF2319"/>
    <w:rsid w:val="00CF246D"/>
    <w:rsid w:val="00CF348C"/>
    <w:rsid w:val="00CF3EA5"/>
    <w:rsid w:val="00CF4B4F"/>
    <w:rsid w:val="00CF50F7"/>
    <w:rsid w:val="00CF7EDE"/>
    <w:rsid w:val="00D00F6D"/>
    <w:rsid w:val="00D02852"/>
    <w:rsid w:val="00D02C42"/>
    <w:rsid w:val="00D03005"/>
    <w:rsid w:val="00D04458"/>
    <w:rsid w:val="00D0588E"/>
    <w:rsid w:val="00D1049C"/>
    <w:rsid w:val="00D13704"/>
    <w:rsid w:val="00D13C3E"/>
    <w:rsid w:val="00D1759D"/>
    <w:rsid w:val="00D177B6"/>
    <w:rsid w:val="00D203C8"/>
    <w:rsid w:val="00D2080D"/>
    <w:rsid w:val="00D20EDC"/>
    <w:rsid w:val="00D21122"/>
    <w:rsid w:val="00D21A56"/>
    <w:rsid w:val="00D24399"/>
    <w:rsid w:val="00D25830"/>
    <w:rsid w:val="00D27220"/>
    <w:rsid w:val="00D27618"/>
    <w:rsid w:val="00D30B2D"/>
    <w:rsid w:val="00D31DD4"/>
    <w:rsid w:val="00D31F84"/>
    <w:rsid w:val="00D32FF7"/>
    <w:rsid w:val="00D33D57"/>
    <w:rsid w:val="00D35D22"/>
    <w:rsid w:val="00D4373C"/>
    <w:rsid w:val="00D4377D"/>
    <w:rsid w:val="00D451E4"/>
    <w:rsid w:val="00D462C0"/>
    <w:rsid w:val="00D46811"/>
    <w:rsid w:val="00D47ADC"/>
    <w:rsid w:val="00D50929"/>
    <w:rsid w:val="00D5129B"/>
    <w:rsid w:val="00D52CF5"/>
    <w:rsid w:val="00D542BE"/>
    <w:rsid w:val="00D54CC3"/>
    <w:rsid w:val="00D54E89"/>
    <w:rsid w:val="00D57081"/>
    <w:rsid w:val="00D60BA9"/>
    <w:rsid w:val="00D61113"/>
    <w:rsid w:val="00D615EC"/>
    <w:rsid w:val="00D61A56"/>
    <w:rsid w:val="00D61F7D"/>
    <w:rsid w:val="00D65580"/>
    <w:rsid w:val="00D65B8F"/>
    <w:rsid w:val="00D714C2"/>
    <w:rsid w:val="00D71C64"/>
    <w:rsid w:val="00D72703"/>
    <w:rsid w:val="00D72C68"/>
    <w:rsid w:val="00D74A83"/>
    <w:rsid w:val="00D74BD0"/>
    <w:rsid w:val="00D74EAA"/>
    <w:rsid w:val="00D77014"/>
    <w:rsid w:val="00D80F4A"/>
    <w:rsid w:val="00D818E8"/>
    <w:rsid w:val="00D8303B"/>
    <w:rsid w:val="00D83536"/>
    <w:rsid w:val="00D85C39"/>
    <w:rsid w:val="00D85E40"/>
    <w:rsid w:val="00D879AC"/>
    <w:rsid w:val="00D87C1A"/>
    <w:rsid w:val="00D87FCB"/>
    <w:rsid w:val="00D91782"/>
    <w:rsid w:val="00D917B0"/>
    <w:rsid w:val="00D93A9C"/>
    <w:rsid w:val="00D9452A"/>
    <w:rsid w:val="00D95322"/>
    <w:rsid w:val="00D956C5"/>
    <w:rsid w:val="00D9611E"/>
    <w:rsid w:val="00DA0499"/>
    <w:rsid w:val="00DA2611"/>
    <w:rsid w:val="00DA3694"/>
    <w:rsid w:val="00DA39BB"/>
    <w:rsid w:val="00DA5F5C"/>
    <w:rsid w:val="00DA608A"/>
    <w:rsid w:val="00DA79A7"/>
    <w:rsid w:val="00DA7DCF"/>
    <w:rsid w:val="00DB173E"/>
    <w:rsid w:val="00DB23C3"/>
    <w:rsid w:val="00DB35E4"/>
    <w:rsid w:val="00DB38C5"/>
    <w:rsid w:val="00DB4508"/>
    <w:rsid w:val="00DB4F09"/>
    <w:rsid w:val="00DB574D"/>
    <w:rsid w:val="00DB61D0"/>
    <w:rsid w:val="00DB6A51"/>
    <w:rsid w:val="00DC0E4E"/>
    <w:rsid w:val="00DC3E65"/>
    <w:rsid w:val="00DC433A"/>
    <w:rsid w:val="00DC46C4"/>
    <w:rsid w:val="00DC70E7"/>
    <w:rsid w:val="00DD00A2"/>
    <w:rsid w:val="00DD179E"/>
    <w:rsid w:val="00DD2BEE"/>
    <w:rsid w:val="00DD4555"/>
    <w:rsid w:val="00DD771E"/>
    <w:rsid w:val="00DE01B1"/>
    <w:rsid w:val="00DE1192"/>
    <w:rsid w:val="00DE1E67"/>
    <w:rsid w:val="00DE35DE"/>
    <w:rsid w:val="00DE3A71"/>
    <w:rsid w:val="00DE5F20"/>
    <w:rsid w:val="00DE6254"/>
    <w:rsid w:val="00DF232D"/>
    <w:rsid w:val="00DF307B"/>
    <w:rsid w:val="00DF507F"/>
    <w:rsid w:val="00DF6D8C"/>
    <w:rsid w:val="00E00F7A"/>
    <w:rsid w:val="00E01836"/>
    <w:rsid w:val="00E01A80"/>
    <w:rsid w:val="00E03DA6"/>
    <w:rsid w:val="00E046A5"/>
    <w:rsid w:val="00E047E7"/>
    <w:rsid w:val="00E11205"/>
    <w:rsid w:val="00E13610"/>
    <w:rsid w:val="00E143E0"/>
    <w:rsid w:val="00E1566C"/>
    <w:rsid w:val="00E201FE"/>
    <w:rsid w:val="00E206D4"/>
    <w:rsid w:val="00E20BA0"/>
    <w:rsid w:val="00E216BD"/>
    <w:rsid w:val="00E226C7"/>
    <w:rsid w:val="00E2361F"/>
    <w:rsid w:val="00E23DC3"/>
    <w:rsid w:val="00E259F0"/>
    <w:rsid w:val="00E306BC"/>
    <w:rsid w:val="00E32878"/>
    <w:rsid w:val="00E328A8"/>
    <w:rsid w:val="00E36C62"/>
    <w:rsid w:val="00E37ADA"/>
    <w:rsid w:val="00E41497"/>
    <w:rsid w:val="00E4325B"/>
    <w:rsid w:val="00E4347F"/>
    <w:rsid w:val="00E44045"/>
    <w:rsid w:val="00E445DE"/>
    <w:rsid w:val="00E4735E"/>
    <w:rsid w:val="00E47445"/>
    <w:rsid w:val="00E476D8"/>
    <w:rsid w:val="00E47845"/>
    <w:rsid w:val="00E47E61"/>
    <w:rsid w:val="00E50D8D"/>
    <w:rsid w:val="00E524B0"/>
    <w:rsid w:val="00E52E3F"/>
    <w:rsid w:val="00E547AE"/>
    <w:rsid w:val="00E55B84"/>
    <w:rsid w:val="00E5645C"/>
    <w:rsid w:val="00E604A5"/>
    <w:rsid w:val="00E61F82"/>
    <w:rsid w:val="00E623AD"/>
    <w:rsid w:val="00E62C4F"/>
    <w:rsid w:val="00E63DAE"/>
    <w:rsid w:val="00E64B69"/>
    <w:rsid w:val="00E6637D"/>
    <w:rsid w:val="00E66BDB"/>
    <w:rsid w:val="00E6776E"/>
    <w:rsid w:val="00E7125D"/>
    <w:rsid w:val="00E72DCC"/>
    <w:rsid w:val="00E756A8"/>
    <w:rsid w:val="00E75800"/>
    <w:rsid w:val="00E759DC"/>
    <w:rsid w:val="00E75D24"/>
    <w:rsid w:val="00E75D37"/>
    <w:rsid w:val="00E77059"/>
    <w:rsid w:val="00E802C5"/>
    <w:rsid w:val="00E8050D"/>
    <w:rsid w:val="00E8361E"/>
    <w:rsid w:val="00E842C0"/>
    <w:rsid w:val="00E862B5"/>
    <w:rsid w:val="00E869D2"/>
    <w:rsid w:val="00E9486B"/>
    <w:rsid w:val="00E94BC2"/>
    <w:rsid w:val="00E958B8"/>
    <w:rsid w:val="00E95BA8"/>
    <w:rsid w:val="00E95CBE"/>
    <w:rsid w:val="00EA36BE"/>
    <w:rsid w:val="00EA3866"/>
    <w:rsid w:val="00EA4387"/>
    <w:rsid w:val="00EA524B"/>
    <w:rsid w:val="00EA5649"/>
    <w:rsid w:val="00EA565B"/>
    <w:rsid w:val="00EA6BA2"/>
    <w:rsid w:val="00EB0189"/>
    <w:rsid w:val="00EB01AB"/>
    <w:rsid w:val="00EB05AB"/>
    <w:rsid w:val="00EB159D"/>
    <w:rsid w:val="00EB2ACD"/>
    <w:rsid w:val="00EB3A18"/>
    <w:rsid w:val="00EB41AA"/>
    <w:rsid w:val="00EB5594"/>
    <w:rsid w:val="00EB71C9"/>
    <w:rsid w:val="00EC1448"/>
    <w:rsid w:val="00EC416B"/>
    <w:rsid w:val="00EC45F3"/>
    <w:rsid w:val="00EC62A7"/>
    <w:rsid w:val="00ED0119"/>
    <w:rsid w:val="00ED052C"/>
    <w:rsid w:val="00ED0CA3"/>
    <w:rsid w:val="00ED18E7"/>
    <w:rsid w:val="00ED2559"/>
    <w:rsid w:val="00ED2BBC"/>
    <w:rsid w:val="00ED471C"/>
    <w:rsid w:val="00ED60EB"/>
    <w:rsid w:val="00ED6C1E"/>
    <w:rsid w:val="00ED6FDF"/>
    <w:rsid w:val="00ED72E9"/>
    <w:rsid w:val="00ED73B9"/>
    <w:rsid w:val="00ED7F0F"/>
    <w:rsid w:val="00EE0504"/>
    <w:rsid w:val="00EE437E"/>
    <w:rsid w:val="00EE4A7F"/>
    <w:rsid w:val="00EE4D2E"/>
    <w:rsid w:val="00EE60BB"/>
    <w:rsid w:val="00EE7A40"/>
    <w:rsid w:val="00EF0B28"/>
    <w:rsid w:val="00EF21B0"/>
    <w:rsid w:val="00EF22FB"/>
    <w:rsid w:val="00EF36EA"/>
    <w:rsid w:val="00EF3B30"/>
    <w:rsid w:val="00EF4A7F"/>
    <w:rsid w:val="00EF654F"/>
    <w:rsid w:val="00EF6934"/>
    <w:rsid w:val="00EF6AA3"/>
    <w:rsid w:val="00EF6EAB"/>
    <w:rsid w:val="00EF757C"/>
    <w:rsid w:val="00F0107A"/>
    <w:rsid w:val="00F01A4B"/>
    <w:rsid w:val="00F025B4"/>
    <w:rsid w:val="00F03CDA"/>
    <w:rsid w:val="00F04D3A"/>
    <w:rsid w:val="00F04F59"/>
    <w:rsid w:val="00F06376"/>
    <w:rsid w:val="00F10816"/>
    <w:rsid w:val="00F1140E"/>
    <w:rsid w:val="00F1303A"/>
    <w:rsid w:val="00F1318E"/>
    <w:rsid w:val="00F132D6"/>
    <w:rsid w:val="00F1381C"/>
    <w:rsid w:val="00F13CCD"/>
    <w:rsid w:val="00F17E10"/>
    <w:rsid w:val="00F205C7"/>
    <w:rsid w:val="00F22481"/>
    <w:rsid w:val="00F2406B"/>
    <w:rsid w:val="00F243F2"/>
    <w:rsid w:val="00F25113"/>
    <w:rsid w:val="00F2584E"/>
    <w:rsid w:val="00F25CCF"/>
    <w:rsid w:val="00F27B4F"/>
    <w:rsid w:val="00F27BA3"/>
    <w:rsid w:val="00F27CA6"/>
    <w:rsid w:val="00F30645"/>
    <w:rsid w:val="00F31D11"/>
    <w:rsid w:val="00F33FF2"/>
    <w:rsid w:val="00F35C55"/>
    <w:rsid w:val="00F362FE"/>
    <w:rsid w:val="00F36338"/>
    <w:rsid w:val="00F364A4"/>
    <w:rsid w:val="00F37C8C"/>
    <w:rsid w:val="00F40C54"/>
    <w:rsid w:val="00F45B97"/>
    <w:rsid w:val="00F474ED"/>
    <w:rsid w:val="00F50437"/>
    <w:rsid w:val="00F5230B"/>
    <w:rsid w:val="00F525EF"/>
    <w:rsid w:val="00F549BF"/>
    <w:rsid w:val="00F5537B"/>
    <w:rsid w:val="00F60D6E"/>
    <w:rsid w:val="00F613B2"/>
    <w:rsid w:val="00F630DD"/>
    <w:rsid w:val="00F6698F"/>
    <w:rsid w:val="00F676A8"/>
    <w:rsid w:val="00F723F0"/>
    <w:rsid w:val="00F747D5"/>
    <w:rsid w:val="00F74A9E"/>
    <w:rsid w:val="00F74AE5"/>
    <w:rsid w:val="00F77132"/>
    <w:rsid w:val="00F80BA9"/>
    <w:rsid w:val="00F825EB"/>
    <w:rsid w:val="00F82853"/>
    <w:rsid w:val="00F85794"/>
    <w:rsid w:val="00F86155"/>
    <w:rsid w:val="00F9103C"/>
    <w:rsid w:val="00F91AF0"/>
    <w:rsid w:val="00F92653"/>
    <w:rsid w:val="00F92CFE"/>
    <w:rsid w:val="00F936C0"/>
    <w:rsid w:val="00F94714"/>
    <w:rsid w:val="00F94E31"/>
    <w:rsid w:val="00F958BF"/>
    <w:rsid w:val="00F95A4F"/>
    <w:rsid w:val="00F95D58"/>
    <w:rsid w:val="00F96D57"/>
    <w:rsid w:val="00F96E21"/>
    <w:rsid w:val="00FA05C0"/>
    <w:rsid w:val="00FA11AB"/>
    <w:rsid w:val="00FA19E5"/>
    <w:rsid w:val="00FA401F"/>
    <w:rsid w:val="00FA41B2"/>
    <w:rsid w:val="00FA4B29"/>
    <w:rsid w:val="00FA5414"/>
    <w:rsid w:val="00FA5C08"/>
    <w:rsid w:val="00FA7385"/>
    <w:rsid w:val="00FB2394"/>
    <w:rsid w:val="00FB2639"/>
    <w:rsid w:val="00FB3A91"/>
    <w:rsid w:val="00FB4669"/>
    <w:rsid w:val="00FB5E53"/>
    <w:rsid w:val="00FB6AF1"/>
    <w:rsid w:val="00FB7D75"/>
    <w:rsid w:val="00FC0642"/>
    <w:rsid w:val="00FC350E"/>
    <w:rsid w:val="00FC3F43"/>
    <w:rsid w:val="00FC4556"/>
    <w:rsid w:val="00FC470A"/>
    <w:rsid w:val="00FC595F"/>
    <w:rsid w:val="00FC5D3A"/>
    <w:rsid w:val="00FD1923"/>
    <w:rsid w:val="00FD4E04"/>
    <w:rsid w:val="00FD7BA8"/>
    <w:rsid w:val="00FF1569"/>
    <w:rsid w:val="00FF3AE8"/>
    <w:rsid w:val="00FF4AD0"/>
    <w:rsid w:val="00FF5AD0"/>
    <w:rsid w:val="00FF6F95"/>
    <w:rsid w:val="00FF774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39E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annotation reference" w:uiPriority="9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iPriority w:val="99"/>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iPriority w:val="99"/>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annotation text" w:uiPriority="99"/>
    <w:lsdException w:name="annotation reference" w:uiPriority="99"/>
    <w:lsdException w:name="Hyperlink" w:uiPriority="99"/>
    <w:lsdException w:name="Strong" w:uiPriority="22" w:qFormat="1"/>
    <w:lsdException w:name="Normal (Web)" w:uiPriority="99"/>
    <w:lsdException w:name="Table Grid" w:uiPriority="59"/>
    <w:lsdException w:name="List Paragraph" w:uiPriority="34" w:qFormat="1"/>
  </w:latentStyles>
  <w:style w:type="paragraph" w:default="1" w:styleId="Normal">
    <w:name w:val="Normal"/>
    <w:qFormat/>
  </w:style>
  <w:style w:type="paragraph" w:styleId="Titre1">
    <w:name w:val="heading 1"/>
    <w:basedOn w:val="Normal"/>
    <w:next w:val="Normal"/>
    <w:link w:val="Titre1Car"/>
    <w:rsid w:val="003E31C5"/>
    <w:pPr>
      <w:keepNext/>
      <w:keepLines/>
      <w:jc w:val="center"/>
      <w:outlineLvl w:val="0"/>
    </w:pPr>
    <w:rPr>
      <w:rFonts w:ascii="Times New Roman" w:eastAsiaTheme="majorEastAsia" w:hAnsi="Times New Roman" w:cstheme="majorBidi"/>
      <w:b/>
      <w:bCs/>
      <w:color w:val="000000" w:themeColor="text1"/>
      <w:szCs w:val="32"/>
    </w:rPr>
  </w:style>
  <w:style w:type="paragraph" w:styleId="Titre2">
    <w:name w:val="heading 2"/>
    <w:basedOn w:val="Normal"/>
    <w:next w:val="Normal"/>
    <w:link w:val="Titre2Car"/>
    <w:uiPriority w:val="9"/>
    <w:unhideWhenUsed/>
    <w:qFormat/>
    <w:rsid w:val="00431C98"/>
    <w:pPr>
      <w:keepNext/>
      <w:keepLines/>
      <w:spacing w:before="80"/>
      <w:jc w:val="center"/>
      <w:outlineLvl w:val="1"/>
    </w:pPr>
    <w:rPr>
      <w:rFonts w:ascii="Times New Roman" w:eastAsiaTheme="majorEastAsia" w:hAnsi="Times New Roman" w:cstheme="majorBidi"/>
      <w:b/>
      <w:bCs/>
      <w:sz w:val="28"/>
      <w:szCs w:val="26"/>
    </w:rPr>
  </w:style>
  <w:style w:type="paragraph" w:styleId="Titre3">
    <w:name w:val="heading 3"/>
    <w:basedOn w:val="Normal"/>
    <w:next w:val="Normal"/>
    <w:link w:val="Titre3Car"/>
    <w:rsid w:val="00A13F0E"/>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1"/>
    <w:rsid w:val="001A41B4"/>
    <w:rPr>
      <w:rFonts w:ascii="Lucida Grande" w:hAnsi="Lucida Grande"/>
      <w:sz w:val="18"/>
      <w:szCs w:val="18"/>
    </w:rPr>
  </w:style>
  <w:style w:type="character" w:customStyle="1" w:styleId="TextedebullesCar">
    <w:name w:val="Texte de bulles Car"/>
    <w:basedOn w:val="Policepardfaut"/>
    <w:uiPriority w:val="99"/>
    <w:semiHidden/>
    <w:rsid w:val="00FE319A"/>
    <w:rPr>
      <w:rFonts w:ascii="Lucida Grande" w:hAnsi="Lucida Grande"/>
      <w:sz w:val="18"/>
      <w:szCs w:val="18"/>
    </w:rPr>
  </w:style>
  <w:style w:type="paragraph" w:customStyle="1" w:styleId="TITRE1BIEN">
    <w:name w:val="TITRE 1 BIEN"/>
    <w:basedOn w:val="Titre2"/>
    <w:qFormat/>
    <w:rsid w:val="00431C98"/>
    <w:pPr>
      <w:keepLines w:val="0"/>
      <w:spacing w:before="0"/>
    </w:pPr>
    <w:rPr>
      <w:rFonts w:eastAsia="Times New Roman" w:cs="Times New Roman"/>
      <w:iCs/>
      <w:szCs w:val="28"/>
      <w:lang w:eastAsia="fr-FR"/>
    </w:rPr>
  </w:style>
  <w:style w:type="character" w:customStyle="1" w:styleId="Titre2Car">
    <w:name w:val="Titre 2 Car"/>
    <w:basedOn w:val="Policepardfaut"/>
    <w:link w:val="Titre2"/>
    <w:uiPriority w:val="9"/>
    <w:rsid w:val="00431C98"/>
    <w:rPr>
      <w:rFonts w:ascii="Times New Roman" w:eastAsiaTheme="majorEastAsia" w:hAnsi="Times New Roman" w:cstheme="majorBidi"/>
      <w:b/>
      <w:bCs/>
      <w:sz w:val="28"/>
      <w:szCs w:val="26"/>
    </w:rPr>
  </w:style>
  <w:style w:type="paragraph" w:styleId="TM1">
    <w:name w:val="toc 1"/>
    <w:basedOn w:val="Normal"/>
    <w:next w:val="Normal"/>
    <w:autoRedefine/>
    <w:uiPriority w:val="39"/>
    <w:unhideWhenUsed/>
    <w:rsid w:val="006F49A4"/>
    <w:pPr>
      <w:spacing w:before="120"/>
    </w:pPr>
    <w:rPr>
      <w:b/>
    </w:rPr>
  </w:style>
  <w:style w:type="paragraph" w:styleId="TM2">
    <w:name w:val="toc 2"/>
    <w:basedOn w:val="Normal"/>
    <w:next w:val="Normal"/>
    <w:autoRedefine/>
    <w:uiPriority w:val="39"/>
    <w:unhideWhenUsed/>
    <w:rsid w:val="006F49A4"/>
    <w:pPr>
      <w:ind w:left="240"/>
    </w:pPr>
    <w:rPr>
      <w:b/>
      <w:sz w:val="22"/>
      <w:szCs w:val="22"/>
    </w:rPr>
  </w:style>
  <w:style w:type="paragraph" w:styleId="TM3">
    <w:name w:val="toc 3"/>
    <w:basedOn w:val="Normal"/>
    <w:next w:val="Normal"/>
    <w:autoRedefine/>
    <w:uiPriority w:val="39"/>
    <w:unhideWhenUsed/>
    <w:rsid w:val="006F49A4"/>
    <w:pPr>
      <w:ind w:left="480"/>
    </w:pPr>
    <w:rPr>
      <w:sz w:val="22"/>
      <w:szCs w:val="22"/>
    </w:rPr>
  </w:style>
  <w:style w:type="paragraph" w:styleId="TM4">
    <w:name w:val="toc 4"/>
    <w:basedOn w:val="Normal"/>
    <w:next w:val="Normal"/>
    <w:autoRedefine/>
    <w:uiPriority w:val="39"/>
    <w:unhideWhenUsed/>
    <w:rsid w:val="006F49A4"/>
    <w:pPr>
      <w:ind w:left="720"/>
    </w:pPr>
    <w:rPr>
      <w:sz w:val="20"/>
      <w:szCs w:val="20"/>
    </w:rPr>
  </w:style>
  <w:style w:type="paragraph" w:styleId="TM5">
    <w:name w:val="toc 5"/>
    <w:basedOn w:val="Normal"/>
    <w:next w:val="Normal"/>
    <w:autoRedefine/>
    <w:uiPriority w:val="39"/>
    <w:unhideWhenUsed/>
    <w:rsid w:val="006F49A4"/>
    <w:pPr>
      <w:ind w:left="960"/>
    </w:pPr>
    <w:rPr>
      <w:sz w:val="20"/>
      <w:szCs w:val="20"/>
    </w:rPr>
  </w:style>
  <w:style w:type="paragraph" w:styleId="TM6">
    <w:name w:val="toc 6"/>
    <w:basedOn w:val="Normal"/>
    <w:next w:val="Normal"/>
    <w:autoRedefine/>
    <w:uiPriority w:val="39"/>
    <w:unhideWhenUsed/>
    <w:rsid w:val="006F49A4"/>
    <w:pPr>
      <w:ind w:left="1200"/>
    </w:pPr>
    <w:rPr>
      <w:sz w:val="20"/>
      <w:szCs w:val="20"/>
    </w:rPr>
  </w:style>
  <w:style w:type="paragraph" w:styleId="TM7">
    <w:name w:val="toc 7"/>
    <w:basedOn w:val="Normal"/>
    <w:next w:val="Normal"/>
    <w:autoRedefine/>
    <w:uiPriority w:val="39"/>
    <w:unhideWhenUsed/>
    <w:rsid w:val="006F49A4"/>
    <w:pPr>
      <w:ind w:left="1440"/>
    </w:pPr>
    <w:rPr>
      <w:sz w:val="20"/>
      <w:szCs w:val="20"/>
    </w:rPr>
  </w:style>
  <w:style w:type="paragraph" w:styleId="TM8">
    <w:name w:val="toc 8"/>
    <w:basedOn w:val="Normal"/>
    <w:next w:val="Normal"/>
    <w:autoRedefine/>
    <w:uiPriority w:val="39"/>
    <w:unhideWhenUsed/>
    <w:rsid w:val="006F49A4"/>
    <w:pPr>
      <w:ind w:left="1680"/>
    </w:pPr>
    <w:rPr>
      <w:sz w:val="20"/>
      <w:szCs w:val="20"/>
    </w:rPr>
  </w:style>
  <w:style w:type="paragraph" w:styleId="TM9">
    <w:name w:val="toc 9"/>
    <w:basedOn w:val="Normal"/>
    <w:next w:val="Normal"/>
    <w:autoRedefine/>
    <w:uiPriority w:val="39"/>
    <w:unhideWhenUsed/>
    <w:rsid w:val="006F49A4"/>
    <w:pPr>
      <w:ind w:left="1920"/>
    </w:pPr>
    <w:rPr>
      <w:sz w:val="20"/>
      <w:szCs w:val="20"/>
    </w:rPr>
  </w:style>
  <w:style w:type="character" w:styleId="Lienhypertexte">
    <w:name w:val="Hyperlink"/>
    <w:basedOn w:val="Policepardfaut"/>
    <w:uiPriority w:val="99"/>
    <w:unhideWhenUsed/>
    <w:rsid w:val="00591C6A"/>
    <w:rPr>
      <w:color w:val="0000FF" w:themeColor="hyperlink"/>
      <w:u w:val="single"/>
    </w:rPr>
  </w:style>
  <w:style w:type="paragraph" w:styleId="NormalWeb">
    <w:name w:val="Normal (Web)"/>
    <w:basedOn w:val="Normal"/>
    <w:uiPriority w:val="99"/>
    <w:rsid w:val="00373F93"/>
    <w:pPr>
      <w:spacing w:beforeLines="1" w:afterLines="1"/>
    </w:pPr>
    <w:rPr>
      <w:rFonts w:ascii="Times" w:hAnsi="Times" w:cs="Times New Roman"/>
      <w:sz w:val="20"/>
      <w:szCs w:val="20"/>
      <w:lang w:eastAsia="fr-FR"/>
    </w:rPr>
  </w:style>
  <w:style w:type="table" w:styleId="Grille">
    <w:name w:val="Table Grid"/>
    <w:basedOn w:val="TableauNormal"/>
    <w:uiPriority w:val="59"/>
    <w:rsid w:val="00373F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aliases w:val="FOOTNOTES,Note de bas de page Car2 Car,Note de bas de page Car1 Car Car,Note de bas de page Car Car Car Car,Note de bas de page Car1 Car Car Car Car,Note de bas de page Car Car Car Car Car Car"/>
    <w:basedOn w:val="Normal"/>
    <w:link w:val="NotedebasdepageCar"/>
    <w:rsid w:val="00CE3843"/>
  </w:style>
  <w:style w:type="character" w:customStyle="1" w:styleId="NotedebasdepageCar">
    <w:name w:val="Note de bas de page Car"/>
    <w:aliases w:val="FOOTNOTES Car,Note de bas de page Car2 Car Car,Note de bas de page Car1 Car Car Car,Note de bas de page Car Car Car Car Car,Note de bas de page Car1 Car Car Car Car Car,Note de bas de page Car Car Car Car Car Car Car"/>
    <w:basedOn w:val="Policepardfaut"/>
    <w:link w:val="Notedebasdepage"/>
    <w:rsid w:val="00CE3843"/>
  </w:style>
  <w:style w:type="character" w:styleId="Marquenotebasdepage">
    <w:name w:val="footnote reference"/>
    <w:basedOn w:val="Policepardfaut"/>
    <w:rsid w:val="00CE3843"/>
    <w:rPr>
      <w:vertAlign w:val="superscript"/>
    </w:rPr>
  </w:style>
  <w:style w:type="paragraph" w:styleId="Paragraphedeliste">
    <w:name w:val="List Paragraph"/>
    <w:basedOn w:val="Normal"/>
    <w:uiPriority w:val="34"/>
    <w:qFormat/>
    <w:rsid w:val="00397C99"/>
    <w:pPr>
      <w:ind w:left="720"/>
      <w:contextualSpacing/>
    </w:pPr>
  </w:style>
  <w:style w:type="paragraph" w:styleId="En-tte">
    <w:name w:val="header"/>
    <w:basedOn w:val="Normal"/>
    <w:link w:val="En-tteCar"/>
    <w:rsid w:val="00E2361F"/>
    <w:pPr>
      <w:tabs>
        <w:tab w:val="center" w:pos="4536"/>
        <w:tab w:val="right" w:pos="9072"/>
      </w:tabs>
    </w:pPr>
  </w:style>
  <w:style w:type="character" w:customStyle="1" w:styleId="En-tteCar">
    <w:name w:val="En-tête Car"/>
    <w:basedOn w:val="Policepardfaut"/>
    <w:link w:val="En-tte"/>
    <w:rsid w:val="00E2361F"/>
  </w:style>
  <w:style w:type="paragraph" w:styleId="Pieddepage">
    <w:name w:val="footer"/>
    <w:basedOn w:val="Normal"/>
    <w:link w:val="PieddepageCar"/>
    <w:rsid w:val="00E2361F"/>
    <w:pPr>
      <w:tabs>
        <w:tab w:val="center" w:pos="4536"/>
        <w:tab w:val="right" w:pos="9072"/>
      </w:tabs>
    </w:pPr>
  </w:style>
  <w:style w:type="character" w:customStyle="1" w:styleId="PieddepageCar">
    <w:name w:val="Pied de page Car"/>
    <w:basedOn w:val="Policepardfaut"/>
    <w:link w:val="Pieddepage"/>
    <w:rsid w:val="00E2361F"/>
  </w:style>
  <w:style w:type="character" w:customStyle="1" w:styleId="textearticledonnees2">
    <w:name w:val="texte_article_donnees2"/>
    <w:basedOn w:val="Policepardfaut"/>
    <w:rsid w:val="00FF3AE8"/>
  </w:style>
  <w:style w:type="character" w:customStyle="1" w:styleId="TextedebullesCar1">
    <w:name w:val="Texte de bulles Car1"/>
    <w:basedOn w:val="Policepardfaut"/>
    <w:link w:val="Textedebulles"/>
    <w:rsid w:val="001A41B4"/>
    <w:rPr>
      <w:rFonts w:ascii="Lucida Grande" w:hAnsi="Lucida Grande"/>
      <w:sz w:val="18"/>
      <w:szCs w:val="18"/>
    </w:rPr>
  </w:style>
  <w:style w:type="character" w:styleId="Marquedannotation">
    <w:name w:val="annotation reference"/>
    <w:uiPriority w:val="99"/>
    <w:unhideWhenUsed/>
    <w:rsid w:val="0029212C"/>
    <w:rPr>
      <w:sz w:val="16"/>
      <w:szCs w:val="16"/>
    </w:rPr>
  </w:style>
  <w:style w:type="character" w:customStyle="1" w:styleId="Titre1Car">
    <w:name w:val="Titre 1 Car"/>
    <w:basedOn w:val="Policepardfaut"/>
    <w:link w:val="Titre1"/>
    <w:rsid w:val="003E31C5"/>
    <w:rPr>
      <w:rFonts w:ascii="Times New Roman" w:eastAsiaTheme="majorEastAsia" w:hAnsi="Times New Roman" w:cstheme="majorBidi"/>
      <w:b/>
      <w:bCs/>
      <w:color w:val="000000" w:themeColor="text1"/>
      <w:szCs w:val="32"/>
    </w:rPr>
  </w:style>
  <w:style w:type="paragraph" w:styleId="Commentaire">
    <w:name w:val="annotation text"/>
    <w:basedOn w:val="Normal"/>
    <w:link w:val="CommentaireCar"/>
    <w:uiPriority w:val="99"/>
    <w:unhideWhenUsed/>
    <w:rsid w:val="0029212C"/>
    <w:pPr>
      <w:suppressAutoHyphens/>
      <w:spacing w:after="100" w:line="276" w:lineRule="auto"/>
    </w:pPr>
    <w:rPr>
      <w:rFonts w:ascii="Calibri" w:eastAsia="Times New Roman" w:hAnsi="Calibri" w:cs="Calibri"/>
      <w:sz w:val="20"/>
      <w:szCs w:val="20"/>
      <w:lang w:eastAsia="ar-SA"/>
    </w:rPr>
  </w:style>
  <w:style w:type="character" w:customStyle="1" w:styleId="CommentaireCar">
    <w:name w:val="Commentaire Car"/>
    <w:basedOn w:val="Policepardfaut"/>
    <w:link w:val="Commentaire"/>
    <w:uiPriority w:val="99"/>
    <w:rsid w:val="0029212C"/>
    <w:rPr>
      <w:rFonts w:ascii="Calibri" w:eastAsia="Times New Roman" w:hAnsi="Calibri" w:cs="Calibri"/>
      <w:sz w:val="20"/>
      <w:szCs w:val="20"/>
      <w:lang w:eastAsia="ar-SA"/>
    </w:rPr>
  </w:style>
  <w:style w:type="character" w:styleId="Numrodepage">
    <w:name w:val="page number"/>
    <w:basedOn w:val="Policepardfaut"/>
    <w:rsid w:val="00A61FD6"/>
  </w:style>
  <w:style w:type="character" w:customStyle="1" w:styleId="Titre3Car">
    <w:name w:val="Titre 3 Car"/>
    <w:basedOn w:val="Policepardfaut"/>
    <w:link w:val="Titre3"/>
    <w:rsid w:val="00A13F0E"/>
    <w:rPr>
      <w:rFonts w:asciiTheme="majorHAnsi" w:eastAsiaTheme="majorEastAsia" w:hAnsiTheme="majorHAnsi" w:cstheme="majorBidi"/>
      <w:b/>
      <w:bCs/>
      <w:color w:val="4F81BD" w:themeColor="accent1"/>
    </w:rPr>
  </w:style>
  <w:style w:type="paragraph" w:styleId="Corpsdetexte2">
    <w:name w:val="Body Text 2"/>
    <w:basedOn w:val="Normal"/>
    <w:link w:val="Corpsdetexte2Car"/>
    <w:rsid w:val="00A13F0E"/>
    <w:pPr>
      <w:jc w:val="both"/>
    </w:pPr>
    <w:rPr>
      <w:rFonts w:ascii="Times New Roman" w:eastAsia="Times New Roman" w:hAnsi="Times New Roman" w:cs="Times New Roman"/>
      <w:szCs w:val="20"/>
      <w:lang w:eastAsia="fr-FR"/>
    </w:rPr>
  </w:style>
  <w:style w:type="character" w:customStyle="1" w:styleId="Corpsdetexte2Car">
    <w:name w:val="Corps de texte 2 Car"/>
    <w:basedOn w:val="Policepardfaut"/>
    <w:link w:val="Corpsdetexte2"/>
    <w:rsid w:val="00A13F0E"/>
    <w:rPr>
      <w:rFonts w:ascii="Times New Roman" w:eastAsia="Times New Roman" w:hAnsi="Times New Roman" w:cs="Times New Roman"/>
      <w:szCs w:val="20"/>
      <w:lang w:eastAsia="fr-FR"/>
    </w:rPr>
  </w:style>
  <w:style w:type="paragraph" w:styleId="Corpsdetexte">
    <w:name w:val="Body Text"/>
    <w:basedOn w:val="Normal"/>
    <w:link w:val="CorpsdetexteCar"/>
    <w:rsid w:val="00A13F0E"/>
    <w:pPr>
      <w:jc w:val="both"/>
    </w:pPr>
    <w:rPr>
      <w:rFonts w:ascii="Times New Roman" w:eastAsia="Times New Roman" w:hAnsi="Times New Roman" w:cs="Times New Roman"/>
      <w:b/>
      <w:szCs w:val="20"/>
      <w:lang w:eastAsia="fr-FR"/>
    </w:rPr>
  </w:style>
  <w:style w:type="character" w:customStyle="1" w:styleId="CorpsdetexteCar">
    <w:name w:val="Corps de texte Car"/>
    <w:basedOn w:val="Policepardfaut"/>
    <w:link w:val="Corpsdetexte"/>
    <w:rsid w:val="00A13F0E"/>
    <w:rPr>
      <w:rFonts w:ascii="Times New Roman" w:eastAsia="Times New Roman" w:hAnsi="Times New Roman" w:cs="Times New Roman"/>
      <w:b/>
      <w:szCs w:val="20"/>
      <w:lang w:eastAsia="fr-FR"/>
    </w:rPr>
  </w:style>
  <w:style w:type="paragraph" w:styleId="Corpsdetexte3">
    <w:name w:val="Body Text 3"/>
    <w:basedOn w:val="Normal"/>
    <w:link w:val="Corpsdetexte3Car"/>
    <w:rsid w:val="00A13F0E"/>
    <w:pPr>
      <w:jc w:val="both"/>
    </w:pPr>
    <w:rPr>
      <w:rFonts w:ascii="Times New Roman" w:eastAsia="Times New Roman" w:hAnsi="Times New Roman" w:cs="Times New Roman"/>
      <w:b/>
      <w:sz w:val="20"/>
      <w:szCs w:val="20"/>
      <w:lang w:eastAsia="fr-FR"/>
    </w:rPr>
  </w:style>
  <w:style w:type="character" w:customStyle="1" w:styleId="Corpsdetexte3Car">
    <w:name w:val="Corps de texte 3 Car"/>
    <w:basedOn w:val="Policepardfaut"/>
    <w:link w:val="Corpsdetexte3"/>
    <w:rsid w:val="00A13F0E"/>
    <w:rPr>
      <w:rFonts w:ascii="Times New Roman" w:eastAsia="Times New Roman" w:hAnsi="Times New Roman" w:cs="Times New Roman"/>
      <w:b/>
      <w:sz w:val="20"/>
      <w:szCs w:val="20"/>
      <w:lang w:eastAsia="fr-FR"/>
    </w:rPr>
  </w:style>
  <w:style w:type="paragraph" w:customStyle="1" w:styleId="CarCar">
    <w:name w:val="Car Car"/>
    <w:basedOn w:val="Normal"/>
    <w:rsid w:val="00A13F0E"/>
    <w:pPr>
      <w:spacing w:after="160" w:line="240" w:lineRule="exact"/>
    </w:pPr>
    <w:rPr>
      <w:rFonts w:ascii="Tahoma" w:eastAsia="Times New Roman" w:hAnsi="Tahoma" w:cs="Times New Roman"/>
      <w:sz w:val="20"/>
      <w:szCs w:val="20"/>
      <w:lang w:val="en-US" w:eastAsia="en-US"/>
    </w:rPr>
  </w:style>
  <w:style w:type="character" w:customStyle="1" w:styleId="sign">
    <w:name w:val="sign"/>
    <w:basedOn w:val="Policepardfaut"/>
    <w:rsid w:val="001B7E16"/>
  </w:style>
  <w:style w:type="character" w:styleId="Lienhypertextesuivi">
    <w:name w:val="FollowedHyperlink"/>
    <w:basedOn w:val="Policepardfaut"/>
    <w:rsid w:val="006B1C65"/>
    <w:rPr>
      <w:color w:val="800080" w:themeColor="followedHyperlink"/>
      <w:u w:val="single"/>
    </w:rPr>
  </w:style>
  <w:style w:type="paragraph" w:customStyle="1" w:styleId="Paragraphedeliste1">
    <w:name w:val="Paragraphe de liste1"/>
    <w:basedOn w:val="Normal"/>
    <w:rsid w:val="005303C9"/>
    <w:pPr>
      <w:ind w:left="720"/>
      <w:contextualSpacing/>
    </w:pPr>
    <w:rPr>
      <w:rFonts w:ascii="Times New Roman" w:eastAsia="MS ??" w:hAnsi="Times New Roman" w:cs="Times New Roman"/>
      <w:lang w:eastAsia="fr-FR"/>
    </w:rPr>
  </w:style>
  <w:style w:type="paragraph" w:customStyle="1" w:styleId="size-10">
    <w:name w:val="size-10"/>
    <w:basedOn w:val="Normal"/>
    <w:rsid w:val="00F96E21"/>
    <w:pPr>
      <w:spacing w:before="100" w:beforeAutospacing="1" w:after="100" w:afterAutospacing="1"/>
    </w:pPr>
    <w:rPr>
      <w:rFonts w:ascii="Times" w:hAnsi="Times"/>
      <w:sz w:val="20"/>
      <w:szCs w:val="20"/>
      <w:lang w:eastAsia="fr-FR"/>
    </w:rPr>
  </w:style>
  <w:style w:type="character" w:styleId="lev">
    <w:name w:val="Strong"/>
    <w:basedOn w:val="Policepardfaut"/>
    <w:uiPriority w:val="22"/>
    <w:qFormat/>
    <w:rsid w:val="00F96E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7700">
      <w:bodyDiv w:val="1"/>
      <w:marLeft w:val="0"/>
      <w:marRight w:val="0"/>
      <w:marTop w:val="0"/>
      <w:marBottom w:val="0"/>
      <w:divBdr>
        <w:top w:val="none" w:sz="0" w:space="0" w:color="auto"/>
        <w:left w:val="none" w:sz="0" w:space="0" w:color="auto"/>
        <w:bottom w:val="none" w:sz="0" w:space="0" w:color="auto"/>
        <w:right w:val="none" w:sz="0" w:space="0" w:color="auto"/>
      </w:divBdr>
    </w:div>
    <w:div w:id="189803774">
      <w:bodyDiv w:val="1"/>
      <w:marLeft w:val="0"/>
      <w:marRight w:val="0"/>
      <w:marTop w:val="0"/>
      <w:marBottom w:val="0"/>
      <w:divBdr>
        <w:top w:val="none" w:sz="0" w:space="0" w:color="auto"/>
        <w:left w:val="none" w:sz="0" w:space="0" w:color="auto"/>
        <w:bottom w:val="none" w:sz="0" w:space="0" w:color="auto"/>
        <w:right w:val="none" w:sz="0" w:space="0" w:color="auto"/>
      </w:divBdr>
    </w:div>
    <w:div w:id="482085248">
      <w:bodyDiv w:val="1"/>
      <w:marLeft w:val="0"/>
      <w:marRight w:val="0"/>
      <w:marTop w:val="0"/>
      <w:marBottom w:val="0"/>
      <w:divBdr>
        <w:top w:val="none" w:sz="0" w:space="0" w:color="auto"/>
        <w:left w:val="none" w:sz="0" w:space="0" w:color="auto"/>
        <w:bottom w:val="none" w:sz="0" w:space="0" w:color="auto"/>
        <w:right w:val="none" w:sz="0" w:space="0" w:color="auto"/>
      </w:divBdr>
    </w:div>
    <w:div w:id="539588602">
      <w:bodyDiv w:val="1"/>
      <w:marLeft w:val="0"/>
      <w:marRight w:val="0"/>
      <w:marTop w:val="0"/>
      <w:marBottom w:val="0"/>
      <w:divBdr>
        <w:top w:val="none" w:sz="0" w:space="0" w:color="auto"/>
        <w:left w:val="none" w:sz="0" w:space="0" w:color="auto"/>
        <w:bottom w:val="none" w:sz="0" w:space="0" w:color="auto"/>
        <w:right w:val="none" w:sz="0" w:space="0" w:color="auto"/>
      </w:divBdr>
    </w:div>
    <w:div w:id="621231714">
      <w:bodyDiv w:val="1"/>
      <w:marLeft w:val="0"/>
      <w:marRight w:val="0"/>
      <w:marTop w:val="0"/>
      <w:marBottom w:val="0"/>
      <w:divBdr>
        <w:top w:val="none" w:sz="0" w:space="0" w:color="auto"/>
        <w:left w:val="none" w:sz="0" w:space="0" w:color="auto"/>
        <w:bottom w:val="none" w:sz="0" w:space="0" w:color="auto"/>
        <w:right w:val="none" w:sz="0" w:space="0" w:color="auto"/>
      </w:divBdr>
    </w:div>
    <w:div w:id="654184753">
      <w:bodyDiv w:val="1"/>
      <w:marLeft w:val="0"/>
      <w:marRight w:val="0"/>
      <w:marTop w:val="0"/>
      <w:marBottom w:val="0"/>
      <w:divBdr>
        <w:top w:val="none" w:sz="0" w:space="0" w:color="auto"/>
        <w:left w:val="none" w:sz="0" w:space="0" w:color="auto"/>
        <w:bottom w:val="none" w:sz="0" w:space="0" w:color="auto"/>
        <w:right w:val="none" w:sz="0" w:space="0" w:color="auto"/>
      </w:divBdr>
    </w:div>
    <w:div w:id="674772338">
      <w:bodyDiv w:val="1"/>
      <w:marLeft w:val="0"/>
      <w:marRight w:val="0"/>
      <w:marTop w:val="0"/>
      <w:marBottom w:val="0"/>
      <w:divBdr>
        <w:top w:val="none" w:sz="0" w:space="0" w:color="auto"/>
        <w:left w:val="none" w:sz="0" w:space="0" w:color="auto"/>
        <w:bottom w:val="none" w:sz="0" w:space="0" w:color="auto"/>
        <w:right w:val="none" w:sz="0" w:space="0" w:color="auto"/>
      </w:divBdr>
    </w:div>
    <w:div w:id="717971615">
      <w:bodyDiv w:val="1"/>
      <w:marLeft w:val="0"/>
      <w:marRight w:val="0"/>
      <w:marTop w:val="0"/>
      <w:marBottom w:val="0"/>
      <w:divBdr>
        <w:top w:val="none" w:sz="0" w:space="0" w:color="auto"/>
        <w:left w:val="none" w:sz="0" w:space="0" w:color="auto"/>
        <w:bottom w:val="none" w:sz="0" w:space="0" w:color="auto"/>
        <w:right w:val="none" w:sz="0" w:space="0" w:color="auto"/>
      </w:divBdr>
      <w:divsChild>
        <w:div w:id="747650873">
          <w:marLeft w:val="720"/>
          <w:marRight w:val="0"/>
          <w:marTop w:val="0"/>
          <w:marBottom w:val="0"/>
          <w:divBdr>
            <w:top w:val="none" w:sz="0" w:space="0" w:color="auto"/>
            <w:left w:val="none" w:sz="0" w:space="0" w:color="auto"/>
            <w:bottom w:val="none" w:sz="0" w:space="0" w:color="auto"/>
            <w:right w:val="none" w:sz="0" w:space="0" w:color="auto"/>
          </w:divBdr>
        </w:div>
        <w:div w:id="1604073925">
          <w:marLeft w:val="720"/>
          <w:marRight w:val="0"/>
          <w:marTop w:val="0"/>
          <w:marBottom w:val="0"/>
          <w:divBdr>
            <w:top w:val="none" w:sz="0" w:space="0" w:color="auto"/>
            <w:left w:val="none" w:sz="0" w:space="0" w:color="auto"/>
            <w:bottom w:val="none" w:sz="0" w:space="0" w:color="auto"/>
            <w:right w:val="none" w:sz="0" w:space="0" w:color="auto"/>
          </w:divBdr>
        </w:div>
        <w:div w:id="1635520827">
          <w:marLeft w:val="720"/>
          <w:marRight w:val="0"/>
          <w:marTop w:val="0"/>
          <w:marBottom w:val="0"/>
          <w:divBdr>
            <w:top w:val="none" w:sz="0" w:space="0" w:color="auto"/>
            <w:left w:val="none" w:sz="0" w:space="0" w:color="auto"/>
            <w:bottom w:val="none" w:sz="0" w:space="0" w:color="auto"/>
            <w:right w:val="none" w:sz="0" w:space="0" w:color="auto"/>
          </w:divBdr>
        </w:div>
        <w:div w:id="1085300428">
          <w:marLeft w:val="720"/>
          <w:marRight w:val="0"/>
          <w:marTop w:val="0"/>
          <w:marBottom w:val="0"/>
          <w:divBdr>
            <w:top w:val="none" w:sz="0" w:space="0" w:color="auto"/>
            <w:left w:val="none" w:sz="0" w:space="0" w:color="auto"/>
            <w:bottom w:val="none" w:sz="0" w:space="0" w:color="auto"/>
            <w:right w:val="none" w:sz="0" w:space="0" w:color="auto"/>
          </w:divBdr>
        </w:div>
        <w:div w:id="1948274788">
          <w:marLeft w:val="720"/>
          <w:marRight w:val="0"/>
          <w:marTop w:val="0"/>
          <w:marBottom w:val="0"/>
          <w:divBdr>
            <w:top w:val="none" w:sz="0" w:space="0" w:color="auto"/>
            <w:left w:val="none" w:sz="0" w:space="0" w:color="auto"/>
            <w:bottom w:val="none" w:sz="0" w:space="0" w:color="auto"/>
            <w:right w:val="none" w:sz="0" w:space="0" w:color="auto"/>
          </w:divBdr>
        </w:div>
      </w:divsChild>
    </w:div>
    <w:div w:id="726800085">
      <w:bodyDiv w:val="1"/>
      <w:marLeft w:val="0"/>
      <w:marRight w:val="0"/>
      <w:marTop w:val="0"/>
      <w:marBottom w:val="0"/>
      <w:divBdr>
        <w:top w:val="none" w:sz="0" w:space="0" w:color="auto"/>
        <w:left w:val="none" w:sz="0" w:space="0" w:color="auto"/>
        <w:bottom w:val="none" w:sz="0" w:space="0" w:color="auto"/>
        <w:right w:val="none" w:sz="0" w:space="0" w:color="auto"/>
      </w:divBdr>
    </w:div>
    <w:div w:id="776409388">
      <w:bodyDiv w:val="1"/>
      <w:marLeft w:val="0"/>
      <w:marRight w:val="0"/>
      <w:marTop w:val="0"/>
      <w:marBottom w:val="0"/>
      <w:divBdr>
        <w:top w:val="none" w:sz="0" w:space="0" w:color="auto"/>
        <w:left w:val="none" w:sz="0" w:space="0" w:color="auto"/>
        <w:bottom w:val="none" w:sz="0" w:space="0" w:color="auto"/>
        <w:right w:val="none" w:sz="0" w:space="0" w:color="auto"/>
      </w:divBdr>
    </w:div>
    <w:div w:id="884679043">
      <w:bodyDiv w:val="1"/>
      <w:marLeft w:val="0"/>
      <w:marRight w:val="0"/>
      <w:marTop w:val="0"/>
      <w:marBottom w:val="0"/>
      <w:divBdr>
        <w:top w:val="none" w:sz="0" w:space="0" w:color="auto"/>
        <w:left w:val="none" w:sz="0" w:space="0" w:color="auto"/>
        <w:bottom w:val="none" w:sz="0" w:space="0" w:color="auto"/>
        <w:right w:val="none" w:sz="0" w:space="0" w:color="auto"/>
      </w:divBdr>
    </w:div>
    <w:div w:id="1099523118">
      <w:bodyDiv w:val="1"/>
      <w:marLeft w:val="0"/>
      <w:marRight w:val="0"/>
      <w:marTop w:val="0"/>
      <w:marBottom w:val="0"/>
      <w:divBdr>
        <w:top w:val="none" w:sz="0" w:space="0" w:color="auto"/>
        <w:left w:val="none" w:sz="0" w:space="0" w:color="auto"/>
        <w:bottom w:val="none" w:sz="0" w:space="0" w:color="auto"/>
        <w:right w:val="none" w:sz="0" w:space="0" w:color="auto"/>
      </w:divBdr>
    </w:div>
    <w:div w:id="1126773157">
      <w:bodyDiv w:val="1"/>
      <w:marLeft w:val="0"/>
      <w:marRight w:val="0"/>
      <w:marTop w:val="0"/>
      <w:marBottom w:val="0"/>
      <w:divBdr>
        <w:top w:val="none" w:sz="0" w:space="0" w:color="auto"/>
        <w:left w:val="none" w:sz="0" w:space="0" w:color="auto"/>
        <w:bottom w:val="none" w:sz="0" w:space="0" w:color="auto"/>
        <w:right w:val="none" w:sz="0" w:space="0" w:color="auto"/>
      </w:divBdr>
    </w:div>
    <w:div w:id="1178814003">
      <w:bodyDiv w:val="1"/>
      <w:marLeft w:val="0"/>
      <w:marRight w:val="0"/>
      <w:marTop w:val="0"/>
      <w:marBottom w:val="0"/>
      <w:divBdr>
        <w:top w:val="none" w:sz="0" w:space="0" w:color="auto"/>
        <w:left w:val="none" w:sz="0" w:space="0" w:color="auto"/>
        <w:bottom w:val="none" w:sz="0" w:space="0" w:color="auto"/>
        <w:right w:val="none" w:sz="0" w:space="0" w:color="auto"/>
      </w:divBdr>
    </w:div>
    <w:div w:id="1220242359">
      <w:bodyDiv w:val="1"/>
      <w:marLeft w:val="0"/>
      <w:marRight w:val="0"/>
      <w:marTop w:val="0"/>
      <w:marBottom w:val="0"/>
      <w:divBdr>
        <w:top w:val="none" w:sz="0" w:space="0" w:color="auto"/>
        <w:left w:val="none" w:sz="0" w:space="0" w:color="auto"/>
        <w:bottom w:val="none" w:sz="0" w:space="0" w:color="auto"/>
        <w:right w:val="none" w:sz="0" w:space="0" w:color="auto"/>
      </w:divBdr>
    </w:div>
    <w:div w:id="1237862755">
      <w:bodyDiv w:val="1"/>
      <w:marLeft w:val="0"/>
      <w:marRight w:val="0"/>
      <w:marTop w:val="0"/>
      <w:marBottom w:val="0"/>
      <w:divBdr>
        <w:top w:val="none" w:sz="0" w:space="0" w:color="auto"/>
        <w:left w:val="none" w:sz="0" w:space="0" w:color="auto"/>
        <w:bottom w:val="none" w:sz="0" w:space="0" w:color="auto"/>
        <w:right w:val="none" w:sz="0" w:space="0" w:color="auto"/>
      </w:divBdr>
    </w:div>
    <w:div w:id="1462768210">
      <w:bodyDiv w:val="1"/>
      <w:marLeft w:val="0"/>
      <w:marRight w:val="0"/>
      <w:marTop w:val="0"/>
      <w:marBottom w:val="0"/>
      <w:divBdr>
        <w:top w:val="none" w:sz="0" w:space="0" w:color="auto"/>
        <w:left w:val="none" w:sz="0" w:space="0" w:color="auto"/>
        <w:bottom w:val="none" w:sz="0" w:space="0" w:color="auto"/>
        <w:right w:val="none" w:sz="0" w:space="0" w:color="auto"/>
      </w:divBdr>
    </w:div>
    <w:div w:id="1488667005">
      <w:bodyDiv w:val="1"/>
      <w:marLeft w:val="0"/>
      <w:marRight w:val="0"/>
      <w:marTop w:val="0"/>
      <w:marBottom w:val="0"/>
      <w:divBdr>
        <w:top w:val="none" w:sz="0" w:space="0" w:color="auto"/>
        <w:left w:val="none" w:sz="0" w:space="0" w:color="auto"/>
        <w:bottom w:val="none" w:sz="0" w:space="0" w:color="auto"/>
        <w:right w:val="none" w:sz="0" w:space="0" w:color="auto"/>
      </w:divBdr>
    </w:div>
    <w:div w:id="1737783594">
      <w:bodyDiv w:val="1"/>
      <w:marLeft w:val="0"/>
      <w:marRight w:val="0"/>
      <w:marTop w:val="0"/>
      <w:marBottom w:val="0"/>
      <w:divBdr>
        <w:top w:val="none" w:sz="0" w:space="0" w:color="auto"/>
        <w:left w:val="none" w:sz="0" w:space="0" w:color="auto"/>
        <w:bottom w:val="none" w:sz="0" w:space="0" w:color="auto"/>
        <w:right w:val="none" w:sz="0" w:space="0" w:color="auto"/>
      </w:divBdr>
    </w:div>
    <w:div w:id="1764909938">
      <w:bodyDiv w:val="1"/>
      <w:marLeft w:val="0"/>
      <w:marRight w:val="0"/>
      <w:marTop w:val="0"/>
      <w:marBottom w:val="0"/>
      <w:divBdr>
        <w:top w:val="none" w:sz="0" w:space="0" w:color="auto"/>
        <w:left w:val="none" w:sz="0" w:space="0" w:color="auto"/>
        <w:bottom w:val="none" w:sz="0" w:space="0" w:color="auto"/>
        <w:right w:val="none" w:sz="0" w:space="0" w:color="auto"/>
      </w:divBdr>
    </w:div>
    <w:div w:id="1812677059">
      <w:bodyDiv w:val="1"/>
      <w:marLeft w:val="0"/>
      <w:marRight w:val="0"/>
      <w:marTop w:val="0"/>
      <w:marBottom w:val="0"/>
      <w:divBdr>
        <w:top w:val="none" w:sz="0" w:space="0" w:color="auto"/>
        <w:left w:val="none" w:sz="0" w:space="0" w:color="auto"/>
        <w:bottom w:val="none" w:sz="0" w:space="0" w:color="auto"/>
        <w:right w:val="none" w:sz="0" w:space="0" w:color="auto"/>
      </w:divBdr>
    </w:div>
    <w:div w:id="1869370817">
      <w:bodyDiv w:val="1"/>
      <w:marLeft w:val="0"/>
      <w:marRight w:val="0"/>
      <w:marTop w:val="0"/>
      <w:marBottom w:val="0"/>
      <w:divBdr>
        <w:top w:val="none" w:sz="0" w:space="0" w:color="auto"/>
        <w:left w:val="none" w:sz="0" w:space="0" w:color="auto"/>
        <w:bottom w:val="none" w:sz="0" w:space="0" w:color="auto"/>
        <w:right w:val="none" w:sz="0" w:space="0" w:color="auto"/>
      </w:divBdr>
    </w:div>
    <w:div w:id="2086880561">
      <w:bodyDiv w:val="1"/>
      <w:marLeft w:val="0"/>
      <w:marRight w:val="0"/>
      <w:marTop w:val="0"/>
      <w:marBottom w:val="0"/>
      <w:divBdr>
        <w:top w:val="none" w:sz="0" w:space="0" w:color="auto"/>
        <w:left w:val="none" w:sz="0" w:space="0" w:color="auto"/>
        <w:bottom w:val="none" w:sz="0" w:space="0" w:color="auto"/>
        <w:right w:val="none" w:sz="0" w:space="0" w:color="auto"/>
      </w:divBdr>
    </w:div>
    <w:div w:id="2119837281">
      <w:bodyDiv w:val="1"/>
      <w:marLeft w:val="0"/>
      <w:marRight w:val="0"/>
      <w:marTop w:val="0"/>
      <w:marBottom w:val="0"/>
      <w:divBdr>
        <w:top w:val="none" w:sz="0" w:space="0" w:color="auto"/>
        <w:left w:val="none" w:sz="0" w:space="0" w:color="auto"/>
        <w:bottom w:val="none" w:sz="0" w:space="0" w:color="auto"/>
        <w:right w:val="none" w:sz="0" w:space="0" w:color="auto"/>
      </w:divBdr>
      <w:divsChild>
        <w:div w:id="13479046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lairs.fr" TargetMode="External"/><Relationship Id="rId20" Type="http://schemas.openxmlformats.org/officeDocument/2006/relationships/chart" Target="charts/chart6.xml"/><Relationship Id="rId21" Type="http://schemas.openxmlformats.org/officeDocument/2006/relationships/image" Target="media/image6.png"/><Relationship Id="rId22" Type="http://schemas.openxmlformats.org/officeDocument/2006/relationships/chart" Target="charts/chart7.xml"/><Relationship Id="rId23" Type="http://schemas.openxmlformats.org/officeDocument/2006/relationships/image" Target="media/image7.emf"/><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chart" Target="charts/chart1.xml"/><Relationship Id="rId12" Type="http://schemas.openxmlformats.org/officeDocument/2006/relationships/image" Target="media/image2.png"/><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image" Target="media/image3.png"/><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uliendamon:Desktop:Julien%20Damonjuin2009:SDF:THESE:MANUSCRIT%20PUF%20DAMON%20SDF:2011Pr&#233;facedeuxi&#232;me%20&#233;dition%20GRAPHS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uliendamon:Desktop:Julien%20Damonjuin2009:SDF:THESE:MANUSCRIT%20PUF%20DAMON%20SDF:2011Pr&#233;facedeuxi&#232;me%20&#233;dition%20GRAPHS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uliendamon:Desktop:Julien%20Damonjuin2009:SDF:THESE:MANUSCRIT%20PUF%20DAMON%20SDF:2011Pr&#233;facedeuxi&#232;me%20&#233;dition%20GRAPHS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uliendamon:Desktop:Julien%20Damonjuin2009:SDF:THESE:MANUSCRIT%20PUF%20DAMON%20SDF:2011Pr&#233;facedeuxi&#232;me%20&#233;dition%20GRAPHS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uliendamon:Desktop:Julien%20Damonjuin2009:SDF:THESE:MANUSCRIT%20PUF%20DAMON%20SDF:2011Pr&#233;facedeuxi&#232;me%20&#233;dition%20GRAPHS2.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juliendamon:Desktop:Julien%20Damonjuin2009:AFP:SDF:afp.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juliendamon:Desktop:Julien%20Damonjuin2009:SDF:2013%20ENQUETE%20INSEE%202012:StatsINSEE20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Probalité!$C$73:$C$74</c:f>
              <c:strCache>
                <c:ptCount val="1"/>
                <c:pt idx="0">
                  <c:v>LikGrècey</c:v>
                </c:pt>
              </c:strCache>
            </c:strRef>
          </c:tx>
          <c:spPr>
            <a:solidFill>
              <a:schemeClr val="bg1"/>
            </a:solidFill>
            <a:ln>
              <a:solidFill>
                <a:schemeClr val="tx1"/>
              </a:solidFill>
            </a:ln>
          </c:spPr>
          <c:invertIfNegative val="0"/>
          <c:dPt>
            <c:idx val="25"/>
            <c:invertIfNegative val="0"/>
            <c:bubble3D val="0"/>
            <c:spPr>
              <a:solidFill>
                <a:schemeClr val="tx1"/>
              </a:solidFill>
              <a:ln>
                <a:solidFill>
                  <a:schemeClr val="tx1"/>
                </a:solidFill>
              </a:ln>
            </c:spPr>
          </c:dPt>
          <c:dPt>
            <c:idx val="28"/>
            <c:invertIfNegative val="0"/>
            <c:bubble3D val="0"/>
            <c:spPr>
              <a:solidFill>
                <a:schemeClr val="tx1"/>
              </a:solidFill>
              <a:ln>
                <a:solidFill>
                  <a:schemeClr val="tx1"/>
                </a:solidFill>
              </a:ln>
            </c:spPr>
          </c:dPt>
          <c:dLbls>
            <c:dLblPos val="outEnd"/>
            <c:showLegendKey val="0"/>
            <c:showVal val="1"/>
            <c:showCatName val="0"/>
            <c:showSerName val="0"/>
            <c:showPercent val="0"/>
            <c:showBubbleSize val="0"/>
            <c:showLeaderLines val="0"/>
          </c:dLbls>
          <c:cat>
            <c:strRef>
              <c:f>Probalité!$B$75:$B$102</c:f>
              <c:strCache>
                <c:ptCount val="28"/>
                <c:pt idx="0">
                  <c:v>Danemark</c:v>
                </c:pt>
                <c:pt idx="1">
                  <c:v>Pays-Bas</c:v>
                </c:pt>
                <c:pt idx="2">
                  <c:v>Suède</c:v>
                </c:pt>
                <c:pt idx="3">
                  <c:v>Allemagne</c:v>
                </c:pt>
                <c:pt idx="4">
                  <c:v>Luxembourg</c:v>
                </c:pt>
                <c:pt idx="5">
                  <c:v>Finlande</c:v>
                </c:pt>
                <c:pt idx="6">
                  <c:v>Autriche</c:v>
                </c:pt>
                <c:pt idx="7">
                  <c:v>Slovénie</c:v>
                </c:pt>
                <c:pt idx="8">
                  <c:v>Irlande</c:v>
                </c:pt>
                <c:pt idx="9">
                  <c:v>Chypre</c:v>
                </c:pt>
                <c:pt idx="10">
                  <c:v>Slovaquie</c:v>
                </c:pt>
                <c:pt idx="11">
                  <c:v>Belgique</c:v>
                </c:pt>
                <c:pt idx="12">
                  <c:v>Bulgarie</c:v>
                </c:pt>
                <c:pt idx="13">
                  <c:v>Grèce</c:v>
                </c:pt>
                <c:pt idx="14">
                  <c:v>Espagne</c:v>
                </c:pt>
                <c:pt idx="15">
                  <c:v>Hongrie</c:v>
                </c:pt>
                <c:pt idx="16">
                  <c:v>Portugal</c:v>
                </c:pt>
                <c:pt idx="17">
                  <c:v>R. Tchèque</c:v>
                </c:pt>
                <c:pt idx="18">
                  <c:v>UE 27</c:v>
                </c:pt>
                <c:pt idx="19">
                  <c:v>Roumanie</c:v>
                </c:pt>
                <c:pt idx="20">
                  <c:v>Malte</c:v>
                </c:pt>
                <c:pt idx="21">
                  <c:v>R. Uni</c:v>
                </c:pt>
                <c:pt idx="22">
                  <c:v>Pologne</c:v>
                </c:pt>
                <c:pt idx="23">
                  <c:v>Estonie</c:v>
                </c:pt>
                <c:pt idx="24">
                  <c:v>Italie</c:v>
                </c:pt>
                <c:pt idx="25">
                  <c:v>France</c:v>
                </c:pt>
                <c:pt idx="26">
                  <c:v>Lituanie</c:v>
                </c:pt>
                <c:pt idx="27">
                  <c:v>Lettonie</c:v>
                </c:pt>
              </c:strCache>
            </c:strRef>
          </c:cat>
          <c:val>
            <c:numRef>
              <c:f>Probalité!$C$75:$C$102</c:f>
              <c:numCache>
                <c:formatCode>General</c:formatCode>
                <c:ptCount val="28"/>
                <c:pt idx="0">
                  <c:v>1.0</c:v>
                </c:pt>
                <c:pt idx="1">
                  <c:v>1.0</c:v>
                </c:pt>
                <c:pt idx="2">
                  <c:v>1.0</c:v>
                </c:pt>
                <c:pt idx="3">
                  <c:v>2.0</c:v>
                </c:pt>
                <c:pt idx="4">
                  <c:v>2.0</c:v>
                </c:pt>
                <c:pt idx="5">
                  <c:v>2.0</c:v>
                </c:pt>
                <c:pt idx="6">
                  <c:v>3.0</c:v>
                </c:pt>
                <c:pt idx="7">
                  <c:v>3.0</c:v>
                </c:pt>
                <c:pt idx="8">
                  <c:v>4.0</c:v>
                </c:pt>
                <c:pt idx="9">
                  <c:v>4.0</c:v>
                </c:pt>
                <c:pt idx="10">
                  <c:v>4.0</c:v>
                </c:pt>
                <c:pt idx="11">
                  <c:v>5.0</c:v>
                </c:pt>
                <c:pt idx="12">
                  <c:v>5.0</c:v>
                </c:pt>
                <c:pt idx="13">
                  <c:v>5.0</c:v>
                </c:pt>
                <c:pt idx="14">
                  <c:v>5.0</c:v>
                </c:pt>
                <c:pt idx="15">
                  <c:v>5.0</c:v>
                </c:pt>
                <c:pt idx="16">
                  <c:v>5.0</c:v>
                </c:pt>
                <c:pt idx="17">
                  <c:v>6.0</c:v>
                </c:pt>
                <c:pt idx="18">
                  <c:v>7.0</c:v>
                </c:pt>
                <c:pt idx="19">
                  <c:v>7.0</c:v>
                </c:pt>
                <c:pt idx="20">
                  <c:v>8.0</c:v>
                </c:pt>
                <c:pt idx="21">
                  <c:v>8.0</c:v>
                </c:pt>
                <c:pt idx="22">
                  <c:v>10.0</c:v>
                </c:pt>
                <c:pt idx="23">
                  <c:v>11.0</c:v>
                </c:pt>
                <c:pt idx="24">
                  <c:v>12.0</c:v>
                </c:pt>
                <c:pt idx="25">
                  <c:v>13.0</c:v>
                </c:pt>
                <c:pt idx="26">
                  <c:v>15.0</c:v>
                </c:pt>
                <c:pt idx="27">
                  <c:v>16.0</c:v>
                </c:pt>
              </c:numCache>
            </c:numRef>
          </c:val>
        </c:ser>
        <c:dLbls>
          <c:showLegendKey val="0"/>
          <c:showVal val="0"/>
          <c:showCatName val="0"/>
          <c:showSerName val="0"/>
          <c:showPercent val="0"/>
          <c:showBubbleSize val="0"/>
        </c:dLbls>
        <c:gapWidth val="150"/>
        <c:axId val="1821284008"/>
        <c:axId val="2095826616"/>
      </c:barChart>
      <c:catAx>
        <c:axId val="1821284008"/>
        <c:scaling>
          <c:orientation val="minMax"/>
        </c:scaling>
        <c:delete val="0"/>
        <c:axPos val="b"/>
        <c:majorTickMark val="out"/>
        <c:minorTickMark val="none"/>
        <c:tickLblPos val="nextTo"/>
        <c:crossAx val="2095826616"/>
        <c:crosses val="autoZero"/>
        <c:auto val="1"/>
        <c:lblAlgn val="ctr"/>
        <c:lblOffset val="100"/>
        <c:noMultiLvlLbl val="0"/>
      </c:catAx>
      <c:valAx>
        <c:axId val="2095826616"/>
        <c:scaling>
          <c:orientation val="minMax"/>
          <c:max val="17.0"/>
          <c:min val="0.0"/>
        </c:scaling>
        <c:delete val="0"/>
        <c:axPos val="l"/>
        <c:majorGridlines>
          <c:spPr>
            <a:ln>
              <a:solidFill>
                <a:schemeClr val="tx1">
                  <a:tint val="75000"/>
                  <a:shade val="95000"/>
                  <a:satMod val="105000"/>
                </a:schemeClr>
              </a:solidFill>
              <a:prstDash val="sysDash"/>
            </a:ln>
          </c:spPr>
        </c:majorGridlines>
        <c:numFmt formatCode="General" sourceLinked="1"/>
        <c:majorTickMark val="out"/>
        <c:minorTickMark val="none"/>
        <c:tickLblPos val="nextTo"/>
        <c:crossAx val="1821284008"/>
        <c:crosses val="autoZero"/>
        <c:crossBetween val="between"/>
      </c:valAx>
    </c:plotArea>
    <c:plotVisOnly val="1"/>
    <c:dispBlanksAs val="gap"/>
    <c:showDLblsOverMax val="0"/>
  </c:chart>
  <c:spPr>
    <a:ln>
      <a:noFill/>
    </a:ln>
  </c:spPr>
  <c:txPr>
    <a:bodyPr/>
    <a:lstStyle/>
    <a:p>
      <a:pPr>
        <a:defRPr sz="1000"/>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Explications!$C$36</c:f>
              <c:strCache>
                <c:ptCount val="1"/>
                <c:pt idx="0">
                  <c:v>EmPologneoi (perte ou non accès)</c:v>
                </c:pt>
              </c:strCache>
            </c:strRef>
          </c:tx>
          <c:spPr>
            <a:solidFill>
              <a:schemeClr val="bg1"/>
            </a:solidFill>
            <a:ln>
              <a:solidFill>
                <a:schemeClr val="tx1"/>
              </a:solidFill>
            </a:ln>
          </c:spPr>
          <c:invertIfNegative val="0"/>
          <c:dPt>
            <c:idx val="25"/>
            <c:invertIfNegative val="0"/>
            <c:bubble3D val="0"/>
          </c:dPt>
          <c:dPt>
            <c:idx val="27"/>
            <c:invertIfNegative val="0"/>
            <c:bubble3D val="0"/>
            <c:spPr>
              <a:solidFill>
                <a:schemeClr val="tx1"/>
              </a:solidFill>
              <a:ln>
                <a:solidFill>
                  <a:schemeClr val="tx1"/>
                </a:solidFill>
              </a:ln>
            </c:spPr>
          </c:dPt>
          <c:dPt>
            <c:idx val="28"/>
            <c:invertIfNegative val="0"/>
            <c:bubble3D val="0"/>
            <c:spPr>
              <a:solidFill>
                <a:schemeClr val="tx1"/>
              </a:solidFill>
              <a:ln>
                <a:solidFill>
                  <a:schemeClr val="tx1"/>
                </a:solidFill>
              </a:ln>
            </c:spPr>
          </c:dPt>
          <c:dLbls>
            <c:dLblPos val="outEnd"/>
            <c:showLegendKey val="0"/>
            <c:showVal val="1"/>
            <c:showCatName val="0"/>
            <c:showSerName val="0"/>
            <c:showPercent val="0"/>
            <c:showBubbleSize val="0"/>
            <c:showLeaderLines val="0"/>
          </c:dLbls>
          <c:cat>
            <c:strRef>
              <c:f>Explications!$B$37:$B$64</c:f>
              <c:strCache>
                <c:ptCount val="28"/>
                <c:pt idx="0">
                  <c:v>Danemark</c:v>
                </c:pt>
                <c:pt idx="1">
                  <c:v>Pays-Bas</c:v>
                </c:pt>
                <c:pt idx="2">
                  <c:v>Irlande</c:v>
                </c:pt>
                <c:pt idx="3">
                  <c:v>R. Uni</c:v>
                </c:pt>
                <c:pt idx="4">
                  <c:v>Espagne</c:v>
                </c:pt>
                <c:pt idx="5">
                  <c:v>Malte</c:v>
                </c:pt>
                <c:pt idx="6">
                  <c:v>Belgique</c:v>
                </c:pt>
                <c:pt idx="7">
                  <c:v>Chypre</c:v>
                </c:pt>
                <c:pt idx="8">
                  <c:v>Portugal</c:v>
                </c:pt>
                <c:pt idx="9">
                  <c:v>Lituanie</c:v>
                </c:pt>
                <c:pt idx="10">
                  <c:v>Italie</c:v>
                </c:pt>
                <c:pt idx="11">
                  <c:v>Suède</c:v>
                </c:pt>
                <c:pt idx="12">
                  <c:v>Slovénie</c:v>
                </c:pt>
                <c:pt idx="13">
                  <c:v>Finlande</c:v>
                </c:pt>
                <c:pt idx="14">
                  <c:v>UE 27</c:v>
                </c:pt>
                <c:pt idx="15">
                  <c:v>R. Tchèque</c:v>
                </c:pt>
                <c:pt idx="16">
                  <c:v>Bulgarie</c:v>
                </c:pt>
                <c:pt idx="17">
                  <c:v>Lettonie</c:v>
                </c:pt>
                <c:pt idx="18">
                  <c:v>Autriche</c:v>
                </c:pt>
                <c:pt idx="19">
                  <c:v>Slovaquie</c:v>
                </c:pt>
                <c:pt idx="20">
                  <c:v>Estonie</c:v>
                </c:pt>
                <c:pt idx="21">
                  <c:v>Pologne</c:v>
                </c:pt>
                <c:pt idx="22">
                  <c:v>Roumanie</c:v>
                </c:pt>
                <c:pt idx="23">
                  <c:v>Allemagne</c:v>
                </c:pt>
                <c:pt idx="24">
                  <c:v>Hongrie</c:v>
                </c:pt>
                <c:pt idx="25">
                  <c:v>Luxembourg</c:v>
                </c:pt>
                <c:pt idx="26">
                  <c:v>Grèce</c:v>
                </c:pt>
                <c:pt idx="27">
                  <c:v>France</c:v>
                </c:pt>
              </c:strCache>
            </c:strRef>
          </c:cat>
          <c:val>
            <c:numRef>
              <c:f>Explications!$C$37:$C$64</c:f>
              <c:numCache>
                <c:formatCode>General</c:formatCode>
                <c:ptCount val="28"/>
                <c:pt idx="0">
                  <c:v>32.0</c:v>
                </c:pt>
                <c:pt idx="1">
                  <c:v>32.0</c:v>
                </c:pt>
                <c:pt idx="2">
                  <c:v>43.0</c:v>
                </c:pt>
                <c:pt idx="3">
                  <c:v>46.0</c:v>
                </c:pt>
                <c:pt idx="4">
                  <c:v>48.0</c:v>
                </c:pt>
                <c:pt idx="5">
                  <c:v>52.0</c:v>
                </c:pt>
                <c:pt idx="6">
                  <c:v>56.0</c:v>
                </c:pt>
                <c:pt idx="7">
                  <c:v>56.0</c:v>
                </c:pt>
                <c:pt idx="8">
                  <c:v>56.0</c:v>
                </c:pt>
                <c:pt idx="9">
                  <c:v>57.0</c:v>
                </c:pt>
                <c:pt idx="10">
                  <c:v>58.0</c:v>
                </c:pt>
                <c:pt idx="11">
                  <c:v>58.0</c:v>
                </c:pt>
                <c:pt idx="12">
                  <c:v>59.0</c:v>
                </c:pt>
                <c:pt idx="13">
                  <c:v>59.0</c:v>
                </c:pt>
                <c:pt idx="14">
                  <c:v>62.0</c:v>
                </c:pt>
                <c:pt idx="15">
                  <c:v>62.0</c:v>
                </c:pt>
                <c:pt idx="16">
                  <c:v>63.0</c:v>
                </c:pt>
                <c:pt idx="17">
                  <c:v>63.0</c:v>
                </c:pt>
                <c:pt idx="18">
                  <c:v>63.0</c:v>
                </c:pt>
                <c:pt idx="19">
                  <c:v>64.0</c:v>
                </c:pt>
                <c:pt idx="20">
                  <c:v>65.0</c:v>
                </c:pt>
                <c:pt idx="21">
                  <c:v>69.0</c:v>
                </c:pt>
                <c:pt idx="22">
                  <c:v>69.0</c:v>
                </c:pt>
                <c:pt idx="23">
                  <c:v>72.0</c:v>
                </c:pt>
                <c:pt idx="24">
                  <c:v>72.0</c:v>
                </c:pt>
                <c:pt idx="25">
                  <c:v>73.0</c:v>
                </c:pt>
                <c:pt idx="26">
                  <c:v>75.0</c:v>
                </c:pt>
                <c:pt idx="27">
                  <c:v>82.0</c:v>
                </c:pt>
              </c:numCache>
            </c:numRef>
          </c:val>
        </c:ser>
        <c:dLbls>
          <c:showLegendKey val="0"/>
          <c:showVal val="0"/>
          <c:showCatName val="0"/>
          <c:showSerName val="0"/>
          <c:showPercent val="0"/>
          <c:showBubbleSize val="0"/>
        </c:dLbls>
        <c:gapWidth val="150"/>
        <c:axId val="1820894568"/>
        <c:axId val="1820869448"/>
      </c:barChart>
      <c:catAx>
        <c:axId val="1820894568"/>
        <c:scaling>
          <c:orientation val="minMax"/>
        </c:scaling>
        <c:delete val="0"/>
        <c:axPos val="b"/>
        <c:majorTickMark val="out"/>
        <c:minorTickMark val="none"/>
        <c:tickLblPos val="nextTo"/>
        <c:crossAx val="1820869448"/>
        <c:crosses val="autoZero"/>
        <c:auto val="1"/>
        <c:lblAlgn val="ctr"/>
        <c:lblOffset val="100"/>
        <c:noMultiLvlLbl val="0"/>
      </c:catAx>
      <c:valAx>
        <c:axId val="1820869448"/>
        <c:scaling>
          <c:orientation val="minMax"/>
          <c:max val="90.0"/>
          <c:min val="0.0"/>
        </c:scaling>
        <c:delete val="0"/>
        <c:axPos val="l"/>
        <c:majorGridlines>
          <c:spPr>
            <a:ln>
              <a:solidFill>
                <a:schemeClr val="tx1">
                  <a:tint val="75000"/>
                  <a:shade val="95000"/>
                  <a:satMod val="105000"/>
                </a:schemeClr>
              </a:solidFill>
              <a:prstDash val="sysDash"/>
            </a:ln>
          </c:spPr>
        </c:majorGridlines>
        <c:numFmt formatCode="General" sourceLinked="1"/>
        <c:majorTickMark val="out"/>
        <c:minorTickMark val="none"/>
        <c:tickLblPos val="nextTo"/>
        <c:crossAx val="1820894568"/>
        <c:crosses val="autoZero"/>
        <c:crossBetween val="between"/>
      </c:valAx>
    </c:plotArea>
    <c:plotVisOnly val="1"/>
    <c:dispBlanksAs val="gap"/>
    <c:showDLblsOverMax val="0"/>
  </c:chart>
  <c:spPr>
    <a:ln>
      <a:noFill/>
    </a:ln>
  </c:spPr>
  <c:txPr>
    <a:bodyPr/>
    <a:lstStyle/>
    <a:p>
      <a:pPr>
        <a:defRPr sz="10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Explications!$C$66</c:f>
              <c:strCache>
                <c:ptCount val="1"/>
                <c:pt idx="0">
                  <c:v>Logement (pas d’accès)</c:v>
                </c:pt>
              </c:strCache>
            </c:strRef>
          </c:tx>
          <c:spPr>
            <a:solidFill>
              <a:schemeClr val="bg1"/>
            </a:solidFill>
            <a:ln>
              <a:solidFill>
                <a:schemeClr val="tx1"/>
              </a:solidFill>
            </a:ln>
          </c:spPr>
          <c:invertIfNegative val="0"/>
          <c:dPt>
            <c:idx val="25"/>
            <c:invertIfNegative val="0"/>
            <c:bubble3D val="0"/>
          </c:dPt>
          <c:dPt>
            <c:idx val="27"/>
            <c:invertIfNegative val="0"/>
            <c:bubble3D val="0"/>
            <c:spPr>
              <a:solidFill>
                <a:schemeClr val="tx1"/>
              </a:solidFill>
              <a:ln>
                <a:solidFill>
                  <a:schemeClr val="tx1"/>
                </a:solidFill>
              </a:ln>
            </c:spPr>
          </c:dPt>
          <c:dPt>
            <c:idx val="28"/>
            <c:invertIfNegative val="0"/>
            <c:bubble3D val="0"/>
            <c:spPr>
              <a:solidFill>
                <a:schemeClr val="tx1"/>
              </a:solidFill>
              <a:ln>
                <a:solidFill>
                  <a:schemeClr val="tx1"/>
                </a:solidFill>
              </a:ln>
            </c:spPr>
          </c:dPt>
          <c:dLbls>
            <c:dLblPos val="outEnd"/>
            <c:showLegendKey val="0"/>
            <c:showVal val="1"/>
            <c:showCatName val="0"/>
            <c:showSerName val="0"/>
            <c:showPercent val="0"/>
            <c:showBubbleSize val="0"/>
            <c:showLeaderLines val="0"/>
          </c:dLbls>
          <c:cat>
            <c:strRef>
              <c:f>Explications!$B$67:$B$94</c:f>
              <c:strCache>
                <c:ptCount val="28"/>
                <c:pt idx="0">
                  <c:v>Grèce</c:v>
                </c:pt>
                <c:pt idx="1">
                  <c:v>Pays-Bas</c:v>
                </c:pt>
                <c:pt idx="2">
                  <c:v>Suède</c:v>
                </c:pt>
                <c:pt idx="3">
                  <c:v>Allemagne</c:v>
                </c:pt>
                <c:pt idx="4">
                  <c:v>Slovénie</c:v>
                </c:pt>
                <c:pt idx="5">
                  <c:v>R. Tchèque</c:v>
                </c:pt>
                <c:pt idx="6">
                  <c:v>Portugal</c:v>
                </c:pt>
                <c:pt idx="7">
                  <c:v>Slovaquie</c:v>
                </c:pt>
                <c:pt idx="8">
                  <c:v>Finlande</c:v>
                </c:pt>
                <c:pt idx="9">
                  <c:v>Espagne</c:v>
                </c:pt>
                <c:pt idx="10">
                  <c:v>Lituanie</c:v>
                </c:pt>
                <c:pt idx="11">
                  <c:v>Bulgarie</c:v>
                </c:pt>
                <c:pt idx="12">
                  <c:v>Chypre</c:v>
                </c:pt>
                <c:pt idx="13">
                  <c:v>Hongrie</c:v>
                </c:pt>
                <c:pt idx="14">
                  <c:v>Malte</c:v>
                </c:pt>
                <c:pt idx="15">
                  <c:v>Autriche</c:v>
                </c:pt>
                <c:pt idx="16">
                  <c:v>Pologne</c:v>
                </c:pt>
                <c:pt idx="17">
                  <c:v>Danemark</c:v>
                </c:pt>
                <c:pt idx="18">
                  <c:v>R. Uni</c:v>
                </c:pt>
                <c:pt idx="19">
                  <c:v>UE 27</c:v>
                </c:pt>
                <c:pt idx="20">
                  <c:v>Estonie</c:v>
                </c:pt>
                <c:pt idx="21">
                  <c:v>Irlande</c:v>
                </c:pt>
                <c:pt idx="22">
                  <c:v>Lettonie</c:v>
                </c:pt>
                <c:pt idx="23">
                  <c:v>Belgique</c:v>
                </c:pt>
                <c:pt idx="24">
                  <c:v>Roumanie</c:v>
                </c:pt>
                <c:pt idx="25">
                  <c:v>Italie</c:v>
                </c:pt>
                <c:pt idx="26">
                  <c:v>Luxembourg</c:v>
                </c:pt>
                <c:pt idx="27">
                  <c:v>France</c:v>
                </c:pt>
              </c:strCache>
            </c:strRef>
          </c:cat>
          <c:val>
            <c:numRef>
              <c:f>Explications!$C$67:$C$94</c:f>
              <c:numCache>
                <c:formatCode>General</c:formatCode>
                <c:ptCount val="28"/>
                <c:pt idx="0">
                  <c:v>10.0</c:v>
                </c:pt>
                <c:pt idx="1">
                  <c:v>12.0</c:v>
                </c:pt>
                <c:pt idx="2">
                  <c:v>14.0</c:v>
                </c:pt>
                <c:pt idx="3">
                  <c:v>17.0</c:v>
                </c:pt>
                <c:pt idx="4">
                  <c:v>17.0</c:v>
                </c:pt>
                <c:pt idx="5">
                  <c:v>18.0</c:v>
                </c:pt>
                <c:pt idx="6">
                  <c:v>18.0</c:v>
                </c:pt>
                <c:pt idx="7">
                  <c:v>18.0</c:v>
                </c:pt>
                <c:pt idx="8">
                  <c:v>18.0</c:v>
                </c:pt>
                <c:pt idx="9">
                  <c:v>19.0</c:v>
                </c:pt>
                <c:pt idx="10">
                  <c:v>19.0</c:v>
                </c:pt>
                <c:pt idx="11">
                  <c:v>20.0</c:v>
                </c:pt>
                <c:pt idx="12">
                  <c:v>21.0</c:v>
                </c:pt>
                <c:pt idx="13">
                  <c:v>21.0</c:v>
                </c:pt>
                <c:pt idx="14">
                  <c:v>21.0</c:v>
                </c:pt>
                <c:pt idx="15">
                  <c:v>21.0</c:v>
                </c:pt>
                <c:pt idx="16">
                  <c:v>21.0</c:v>
                </c:pt>
                <c:pt idx="17">
                  <c:v>23.0</c:v>
                </c:pt>
                <c:pt idx="18">
                  <c:v>23.0</c:v>
                </c:pt>
                <c:pt idx="19">
                  <c:v>24.0</c:v>
                </c:pt>
                <c:pt idx="20">
                  <c:v>24.0</c:v>
                </c:pt>
                <c:pt idx="21">
                  <c:v>25.0</c:v>
                </c:pt>
                <c:pt idx="22">
                  <c:v>25.0</c:v>
                </c:pt>
                <c:pt idx="23">
                  <c:v>29.0</c:v>
                </c:pt>
                <c:pt idx="24">
                  <c:v>31.0</c:v>
                </c:pt>
                <c:pt idx="25">
                  <c:v>33.0</c:v>
                </c:pt>
                <c:pt idx="26">
                  <c:v>33.0</c:v>
                </c:pt>
                <c:pt idx="27">
                  <c:v>40.0</c:v>
                </c:pt>
              </c:numCache>
            </c:numRef>
          </c:val>
        </c:ser>
        <c:dLbls>
          <c:showLegendKey val="0"/>
          <c:showVal val="0"/>
          <c:showCatName val="0"/>
          <c:showSerName val="0"/>
          <c:showPercent val="0"/>
          <c:showBubbleSize val="0"/>
        </c:dLbls>
        <c:gapWidth val="150"/>
        <c:axId val="1820843784"/>
        <c:axId val="1820395288"/>
      </c:barChart>
      <c:catAx>
        <c:axId val="1820843784"/>
        <c:scaling>
          <c:orientation val="minMax"/>
        </c:scaling>
        <c:delete val="0"/>
        <c:axPos val="b"/>
        <c:majorTickMark val="out"/>
        <c:minorTickMark val="none"/>
        <c:tickLblPos val="nextTo"/>
        <c:crossAx val="1820395288"/>
        <c:crosses val="autoZero"/>
        <c:auto val="1"/>
        <c:lblAlgn val="ctr"/>
        <c:lblOffset val="100"/>
        <c:noMultiLvlLbl val="0"/>
      </c:catAx>
      <c:valAx>
        <c:axId val="1820395288"/>
        <c:scaling>
          <c:orientation val="minMax"/>
          <c:max val="45.0"/>
          <c:min val="0.0"/>
        </c:scaling>
        <c:delete val="0"/>
        <c:axPos val="l"/>
        <c:majorGridlines>
          <c:spPr>
            <a:ln>
              <a:solidFill>
                <a:schemeClr val="tx1">
                  <a:tint val="75000"/>
                  <a:shade val="95000"/>
                  <a:satMod val="105000"/>
                </a:schemeClr>
              </a:solidFill>
              <a:prstDash val="sysDash"/>
            </a:ln>
          </c:spPr>
        </c:majorGridlines>
        <c:numFmt formatCode="General" sourceLinked="1"/>
        <c:majorTickMark val="out"/>
        <c:minorTickMark val="none"/>
        <c:tickLblPos val="nextTo"/>
        <c:crossAx val="1820843784"/>
        <c:crosses val="autoZero"/>
        <c:crossBetween val="between"/>
      </c:valAx>
    </c:plotArea>
    <c:plotVisOnly val="1"/>
    <c:dispBlanksAs val="gap"/>
    <c:showDLblsOverMax val="0"/>
  </c:chart>
  <c:spPr>
    <a:ln>
      <a:noFill/>
    </a:ln>
  </c:spPr>
  <c:txPr>
    <a:bodyPr/>
    <a:lstStyle/>
    <a:p>
      <a:pPr>
        <a:defRPr sz="100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Explications!$C$97</c:f>
              <c:strCache>
                <c:ptCount val="1"/>
                <c:pt idx="0">
                  <c:v>Addictions (dRoumaniegue ou alcool)</c:v>
                </c:pt>
              </c:strCache>
            </c:strRef>
          </c:tx>
          <c:spPr>
            <a:solidFill>
              <a:schemeClr val="bg1"/>
            </a:solidFill>
            <a:ln>
              <a:solidFill>
                <a:schemeClr val="tx1"/>
              </a:solidFill>
            </a:ln>
          </c:spPr>
          <c:invertIfNegative val="0"/>
          <c:dPt>
            <c:idx val="0"/>
            <c:invertIfNegative val="0"/>
            <c:bubble3D val="0"/>
            <c:spPr>
              <a:solidFill>
                <a:schemeClr val="tx1"/>
              </a:solidFill>
              <a:ln>
                <a:solidFill>
                  <a:schemeClr val="tx1"/>
                </a:solidFill>
              </a:ln>
            </c:spPr>
          </c:dPt>
          <c:dPt>
            <c:idx val="25"/>
            <c:invertIfNegative val="0"/>
            <c:bubble3D val="0"/>
          </c:dPt>
          <c:dPt>
            <c:idx val="28"/>
            <c:invertIfNegative val="0"/>
            <c:bubble3D val="0"/>
          </c:dPt>
          <c:dLbls>
            <c:dLblPos val="outEnd"/>
            <c:showLegendKey val="0"/>
            <c:showVal val="1"/>
            <c:showCatName val="0"/>
            <c:showSerName val="0"/>
            <c:showPercent val="0"/>
            <c:showBubbleSize val="0"/>
            <c:showLeaderLines val="0"/>
          </c:dLbls>
          <c:cat>
            <c:strRef>
              <c:f>Explications!$B$98:$B$125</c:f>
              <c:strCache>
                <c:ptCount val="28"/>
                <c:pt idx="0">
                  <c:v>France</c:v>
                </c:pt>
                <c:pt idx="1">
                  <c:v>Roumanie</c:v>
                </c:pt>
                <c:pt idx="2">
                  <c:v>Italie</c:v>
                </c:pt>
                <c:pt idx="3">
                  <c:v>Bulgarie</c:v>
                </c:pt>
                <c:pt idx="4">
                  <c:v>Grèce</c:v>
                </c:pt>
                <c:pt idx="5">
                  <c:v>Luxembourg</c:v>
                </c:pt>
                <c:pt idx="6">
                  <c:v>Chypre</c:v>
                </c:pt>
                <c:pt idx="7">
                  <c:v>Belgique</c:v>
                </c:pt>
                <c:pt idx="8">
                  <c:v>Hongrie</c:v>
                </c:pt>
                <c:pt idx="9">
                  <c:v>UE 27</c:v>
                </c:pt>
                <c:pt idx="10">
                  <c:v>Autriche</c:v>
                </c:pt>
                <c:pt idx="11">
                  <c:v>Espagne</c:v>
                </c:pt>
                <c:pt idx="12">
                  <c:v>Allemagne</c:v>
                </c:pt>
                <c:pt idx="13">
                  <c:v>R. Uni</c:v>
                </c:pt>
                <c:pt idx="14">
                  <c:v>Malte</c:v>
                </c:pt>
                <c:pt idx="15">
                  <c:v>Slovénie</c:v>
                </c:pt>
                <c:pt idx="16">
                  <c:v>Pologne</c:v>
                </c:pt>
                <c:pt idx="17">
                  <c:v>Irlande</c:v>
                </c:pt>
                <c:pt idx="18">
                  <c:v>R. Tchèque</c:v>
                </c:pt>
                <c:pt idx="19">
                  <c:v>Portugal</c:v>
                </c:pt>
                <c:pt idx="20">
                  <c:v>Slovaquie</c:v>
                </c:pt>
                <c:pt idx="21">
                  <c:v>Estonie</c:v>
                </c:pt>
                <c:pt idx="22">
                  <c:v>Lettonie</c:v>
                </c:pt>
                <c:pt idx="23">
                  <c:v>Finlande</c:v>
                </c:pt>
                <c:pt idx="24">
                  <c:v>Lituanie</c:v>
                </c:pt>
                <c:pt idx="25">
                  <c:v>Pays-Bas</c:v>
                </c:pt>
                <c:pt idx="26">
                  <c:v>Danemark</c:v>
                </c:pt>
                <c:pt idx="27">
                  <c:v>Suède</c:v>
                </c:pt>
              </c:strCache>
            </c:strRef>
          </c:cat>
          <c:val>
            <c:numRef>
              <c:f>Explications!$C$98:$C$125</c:f>
              <c:numCache>
                <c:formatCode>General</c:formatCode>
                <c:ptCount val="28"/>
                <c:pt idx="0">
                  <c:v>22.0</c:v>
                </c:pt>
                <c:pt idx="1">
                  <c:v>22.0</c:v>
                </c:pt>
                <c:pt idx="2">
                  <c:v>26.0</c:v>
                </c:pt>
                <c:pt idx="3">
                  <c:v>27.0</c:v>
                </c:pt>
                <c:pt idx="4">
                  <c:v>34.0</c:v>
                </c:pt>
                <c:pt idx="5">
                  <c:v>36.0</c:v>
                </c:pt>
                <c:pt idx="6">
                  <c:v>37.0</c:v>
                </c:pt>
                <c:pt idx="7">
                  <c:v>39.0</c:v>
                </c:pt>
                <c:pt idx="8">
                  <c:v>41.0</c:v>
                </c:pt>
                <c:pt idx="9">
                  <c:v>46.0</c:v>
                </c:pt>
                <c:pt idx="10">
                  <c:v>46.0</c:v>
                </c:pt>
                <c:pt idx="11">
                  <c:v>49.0</c:v>
                </c:pt>
                <c:pt idx="12">
                  <c:v>52.0</c:v>
                </c:pt>
                <c:pt idx="13">
                  <c:v>52.0</c:v>
                </c:pt>
                <c:pt idx="14">
                  <c:v>56.0</c:v>
                </c:pt>
                <c:pt idx="15">
                  <c:v>58.0</c:v>
                </c:pt>
                <c:pt idx="16">
                  <c:v>59.0</c:v>
                </c:pt>
                <c:pt idx="17">
                  <c:v>60.0</c:v>
                </c:pt>
                <c:pt idx="18">
                  <c:v>63.0</c:v>
                </c:pt>
                <c:pt idx="19">
                  <c:v>63.0</c:v>
                </c:pt>
                <c:pt idx="20">
                  <c:v>63.0</c:v>
                </c:pt>
                <c:pt idx="21">
                  <c:v>64.0</c:v>
                </c:pt>
                <c:pt idx="22">
                  <c:v>66.0</c:v>
                </c:pt>
                <c:pt idx="23">
                  <c:v>70.0</c:v>
                </c:pt>
                <c:pt idx="24">
                  <c:v>71.0</c:v>
                </c:pt>
                <c:pt idx="25">
                  <c:v>76.0</c:v>
                </c:pt>
                <c:pt idx="26">
                  <c:v>80.0</c:v>
                </c:pt>
                <c:pt idx="27">
                  <c:v>82.0</c:v>
                </c:pt>
              </c:numCache>
            </c:numRef>
          </c:val>
        </c:ser>
        <c:dLbls>
          <c:showLegendKey val="0"/>
          <c:showVal val="0"/>
          <c:showCatName val="0"/>
          <c:showSerName val="0"/>
          <c:showPercent val="0"/>
          <c:showBubbleSize val="0"/>
        </c:dLbls>
        <c:gapWidth val="150"/>
        <c:axId val="1821114936"/>
        <c:axId val="1821105928"/>
      </c:barChart>
      <c:catAx>
        <c:axId val="1821114936"/>
        <c:scaling>
          <c:orientation val="minMax"/>
        </c:scaling>
        <c:delete val="0"/>
        <c:axPos val="b"/>
        <c:majorTickMark val="out"/>
        <c:minorTickMark val="none"/>
        <c:tickLblPos val="nextTo"/>
        <c:crossAx val="1821105928"/>
        <c:crosses val="autoZero"/>
        <c:auto val="1"/>
        <c:lblAlgn val="ctr"/>
        <c:lblOffset val="100"/>
        <c:noMultiLvlLbl val="0"/>
      </c:catAx>
      <c:valAx>
        <c:axId val="1821105928"/>
        <c:scaling>
          <c:orientation val="minMax"/>
          <c:max val="90.0"/>
          <c:min val="0.0"/>
        </c:scaling>
        <c:delete val="0"/>
        <c:axPos val="l"/>
        <c:majorGridlines>
          <c:spPr>
            <a:ln>
              <a:solidFill>
                <a:schemeClr val="tx1">
                  <a:tint val="75000"/>
                  <a:shade val="95000"/>
                  <a:satMod val="105000"/>
                </a:schemeClr>
              </a:solidFill>
              <a:prstDash val="sysDash"/>
            </a:ln>
          </c:spPr>
        </c:majorGridlines>
        <c:numFmt formatCode="General" sourceLinked="1"/>
        <c:majorTickMark val="out"/>
        <c:minorTickMark val="none"/>
        <c:tickLblPos val="nextTo"/>
        <c:crossAx val="1821114936"/>
        <c:crosses val="autoZero"/>
        <c:crossBetween val="between"/>
      </c:valAx>
    </c:plotArea>
    <c:plotVisOnly val="1"/>
    <c:dispBlanksAs val="gap"/>
    <c:showDLblsOverMax val="0"/>
  </c:chart>
  <c:spPr>
    <a:ln>
      <a:noFill/>
    </a:ln>
  </c:spPr>
  <c:txPr>
    <a:bodyPr/>
    <a:lstStyle/>
    <a:p>
      <a:pPr>
        <a:defRPr sz="1000"/>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'Depenses SDF'!$C$35</c:f>
              <c:strCache>
                <c:ptCount val="1"/>
                <c:pt idx="0">
                  <c:v>Pas Belgiqueaucoup</c:v>
                </c:pt>
              </c:strCache>
            </c:strRef>
          </c:tx>
          <c:spPr>
            <a:solidFill>
              <a:schemeClr val="bg1"/>
            </a:solidFill>
            <a:ln>
              <a:solidFill>
                <a:schemeClr val="tx1"/>
              </a:solidFill>
            </a:ln>
          </c:spPr>
          <c:invertIfNegative val="0"/>
          <c:dPt>
            <c:idx val="25"/>
            <c:invertIfNegative val="0"/>
            <c:bubble3D val="0"/>
            <c:spPr>
              <a:solidFill>
                <a:schemeClr val="tx1"/>
              </a:solidFill>
              <a:ln>
                <a:solidFill>
                  <a:schemeClr val="tx1"/>
                </a:solidFill>
              </a:ln>
            </c:spPr>
          </c:dPt>
          <c:dLbls>
            <c:dLblPos val="outEnd"/>
            <c:showLegendKey val="0"/>
            <c:showVal val="1"/>
            <c:showCatName val="0"/>
            <c:showSerName val="0"/>
            <c:showPercent val="0"/>
            <c:showBubbleSize val="0"/>
            <c:showLeaderLines val="0"/>
          </c:dLbls>
          <c:cat>
            <c:strRef>
              <c:f>'Depenses SDF'!$B$36:$B$62</c:f>
              <c:strCache>
                <c:ptCount val="27"/>
                <c:pt idx="0">
                  <c:v>Luxembourg</c:v>
                </c:pt>
                <c:pt idx="1">
                  <c:v>Chypre</c:v>
                </c:pt>
                <c:pt idx="2">
                  <c:v>Malte</c:v>
                </c:pt>
                <c:pt idx="3">
                  <c:v>Pays-Bas</c:v>
                </c:pt>
                <c:pt idx="4">
                  <c:v>R. Tchèque</c:v>
                </c:pt>
                <c:pt idx="5">
                  <c:v>Irlande</c:v>
                </c:pt>
                <c:pt idx="6">
                  <c:v>Lituanie</c:v>
                </c:pt>
                <c:pt idx="7">
                  <c:v>Italie</c:v>
                </c:pt>
                <c:pt idx="8">
                  <c:v>Autriche</c:v>
                </c:pt>
                <c:pt idx="9">
                  <c:v>Roumanie</c:v>
                </c:pt>
                <c:pt idx="10">
                  <c:v>Slovénie</c:v>
                </c:pt>
                <c:pt idx="11">
                  <c:v>Danemark</c:v>
                </c:pt>
                <c:pt idx="12">
                  <c:v>Allemagne</c:v>
                </c:pt>
                <c:pt idx="13">
                  <c:v>Portugal</c:v>
                </c:pt>
                <c:pt idx="14">
                  <c:v>Slovaquie</c:v>
                </c:pt>
                <c:pt idx="15">
                  <c:v>EU 27</c:v>
                </c:pt>
                <c:pt idx="16">
                  <c:v>Estonie</c:v>
                </c:pt>
                <c:pt idx="17">
                  <c:v>Lettonie</c:v>
                </c:pt>
                <c:pt idx="18">
                  <c:v>Hongrie</c:v>
                </c:pt>
                <c:pt idx="19">
                  <c:v>Finlande</c:v>
                </c:pt>
                <c:pt idx="20">
                  <c:v>Grèce</c:v>
                </c:pt>
                <c:pt idx="21">
                  <c:v>Espagne</c:v>
                </c:pt>
                <c:pt idx="22">
                  <c:v>Belgique</c:v>
                </c:pt>
                <c:pt idx="23">
                  <c:v>Bulgarie</c:v>
                </c:pt>
                <c:pt idx="24">
                  <c:v>Pologne</c:v>
                </c:pt>
                <c:pt idx="25">
                  <c:v>France</c:v>
                </c:pt>
                <c:pt idx="26">
                  <c:v>Suède</c:v>
                </c:pt>
              </c:strCache>
            </c:strRef>
          </c:cat>
          <c:val>
            <c:numRef>
              <c:f>'Depenses SDF'!$C$36:$C$62</c:f>
              <c:numCache>
                <c:formatCode>General</c:formatCode>
                <c:ptCount val="27"/>
                <c:pt idx="0">
                  <c:v>24.0</c:v>
                </c:pt>
                <c:pt idx="1">
                  <c:v>27.0</c:v>
                </c:pt>
                <c:pt idx="2">
                  <c:v>36.0</c:v>
                </c:pt>
                <c:pt idx="3">
                  <c:v>40.0</c:v>
                </c:pt>
                <c:pt idx="4">
                  <c:v>41.0</c:v>
                </c:pt>
                <c:pt idx="5">
                  <c:v>42.0</c:v>
                </c:pt>
                <c:pt idx="6">
                  <c:v>43.0</c:v>
                </c:pt>
                <c:pt idx="7">
                  <c:v>44.0</c:v>
                </c:pt>
                <c:pt idx="8">
                  <c:v>44.0</c:v>
                </c:pt>
                <c:pt idx="9">
                  <c:v>44.0</c:v>
                </c:pt>
                <c:pt idx="10">
                  <c:v>45.0</c:v>
                </c:pt>
                <c:pt idx="11">
                  <c:v>47.0</c:v>
                </c:pt>
                <c:pt idx="12">
                  <c:v>49.0</c:v>
                </c:pt>
                <c:pt idx="13">
                  <c:v>49.0</c:v>
                </c:pt>
                <c:pt idx="14">
                  <c:v>49.0</c:v>
                </c:pt>
                <c:pt idx="15">
                  <c:v>50.0</c:v>
                </c:pt>
                <c:pt idx="16">
                  <c:v>50.0</c:v>
                </c:pt>
                <c:pt idx="17">
                  <c:v>52.0</c:v>
                </c:pt>
                <c:pt idx="18">
                  <c:v>52.0</c:v>
                </c:pt>
                <c:pt idx="19">
                  <c:v>52.0</c:v>
                </c:pt>
                <c:pt idx="20">
                  <c:v>54.0</c:v>
                </c:pt>
                <c:pt idx="21">
                  <c:v>55.0</c:v>
                </c:pt>
                <c:pt idx="22">
                  <c:v>56.0</c:v>
                </c:pt>
                <c:pt idx="23">
                  <c:v>56.0</c:v>
                </c:pt>
                <c:pt idx="24">
                  <c:v>56.0</c:v>
                </c:pt>
                <c:pt idx="25">
                  <c:v>58.0</c:v>
                </c:pt>
                <c:pt idx="26">
                  <c:v>59.0</c:v>
                </c:pt>
              </c:numCache>
            </c:numRef>
          </c:val>
        </c:ser>
        <c:dLbls>
          <c:showLegendKey val="0"/>
          <c:showVal val="0"/>
          <c:showCatName val="0"/>
          <c:showSerName val="0"/>
          <c:showPercent val="0"/>
          <c:showBubbleSize val="0"/>
        </c:dLbls>
        <c:gapWidth val="150"/>
        <c:axId val="2095599848"/>
        <c:axId val="1820450840"/>
      </c:barChart>
      <c:catAx>
        <c:axId val="2095599848"/>
        <c:scaling>
          <c:orientation val="minMax"/>
        </c:scaling>
        <c:delete val="0"/>
        <c:axPos val="b"/>
        <c:majorTickMark val="out"/>
        <c:minorTickMark val="none"/>
        <c:tickLblPos val="nextTo"/>
        <c:crossAx val="1820450840"/>
        <c:crosses val="autoZero"/>
        <c:auto val="1"/>
        <c:lblAlgn val="ctr"/>
        <c:lblOffset val="100"/>
        <c:noMultiLvlLbl val="0"/>
      </c:catAx>
      <c:valAx>
        <c:axId val="1820450840"/>
        <c:scaling>
          <c:orientation val="minMax"/>
          <c:max val="70.0"/>
          <c:min val="0.0"/>
        </c:scaling>
        <c:delete val="0"/>
        <c:axPos val="l"/>
        <c:majorGridlines>
          <c:spPr>
            <a:ln>
              <a:solidFill>
                <a:schemeClr val="tx1">
                  <a:tint val="75000"/>
                  <a:shade val="95000"/>
                  <a:satMod val="105000"/>
                </a:schemeClr>
              </a:solidFill>
              <a:prstDash val="sysDash"/>
            </a:ln>
          </c:spPr>
        </c:majorGridlines>
        <c:numFmt formatCode="General" sourceLinked="1"/>
        <c:majorTickMark val="out"/>
        <c:minorTickMark val="none"/>
        <c:tickLblPos val="nextTo"/>
        <c:crossAx val="2095599848"/>
        <c:crosses val="autoZero"/>
        <c:crossBetween val="between"/>
      </c:valAx>
    </c:plotArea>
    <c:plotVisOnly val="1"/>
    <c:dispBlanksAs val="gap"/>
    <c:showDLblsOverMax val="0"/>
  </c:chart>
  <c:spPr>
    <a:ln>
      <a:noFill/>
    </a:ln>
  </c:spPr>
  <c:txPr>
    <a:bodyPr/>
    <a:lstStyle/>
    <a:p>
      <a:pPr>
        <a:defRPr sz="1000"/>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617059480991051"/>
          <c:y val="0.0791665056019987"/>
          <c:w val="0.918329698180799"/>
          <c:h val="0.708331892228409"/>
        </c:manualLayout>
      </c:layout>
      <c:lineChart>
        <c:grouping val="standard"/>
        <c:varyColors val="0"/>
        <c:ser>
          <c:idx val="0"/>
          <c:order val="0"/>
          <c:tx>
            <c:strRef>
              <c:f>Feuil1!$B$63</c:f>
              <c:strCache>
                <c:ptCount val="1"/>
                <c:pt idx="0">
                  <c:v>Clochard</c:v>
                </c:pt>
              </c:strCache>
            </c:strRef>
          </c:tx>
          <c:spPr>
            <a:ln w="3175">
              <a:solidFill>
                <a:srgbClr val="FCF305"/>
              </a:solidFill>
              <a:prstDash val="solid"/>
            </a:ln>
          </c:spPr>
          <c:marker>
            <c:symbol val="triangle"/>
            <c:size val="3"/>
            <c:spPr>
              <a:solidFill>
                <a:srgbClr val="FCF305"/>
              </a:solidFill>
              <a:ln>
                <a:solidFill>
                  <a:srgbClr val="FCF305"/>
                </a:solidFill>
                <a:prstDash val="solid"/>
              </a:ln>
            </c:spPr>
          </c:marker>
          <c:cat>
            <c:strRef>
              <c:f>Feuil1!$A$64:$A$93</c:f>
              <c:strCach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strCache>
            </c:strRef>
          </c:cat>
          <c:val>
            <c:numRef>
              <c:f>Feuil1!$B$64:$B$93</c:f>
              <c:numCache>
                <c:formatCode>General</c:formatCode>
                <c:ptCount val="30"/>
                <c:pt idx="0">
                  <c:v>1.0</c:v>
                </c:pt>
                <c:pt idx="1">
                  <c:v>4.0</c:v>
                </c:pt>
                <c:pt idx="2">
                  <c:v>14.0</c:v>
                </c:pt>
                <c:pt idx="3">
                  <c:v>16.0</c:v>
                </c:pt>
                <c:pt idx="4">
                  <c:v>25.0</c:v>
                </c:pt>
                <c:pt idx="5">
                  <c:v>22.0</c:v>
                </c:pt>
                <c:pt idx="6">
                  <c:v>19.0</c:v>
                </c:pt>
                <c:pt idx="7">
                  <c:v>17.0</c:v>
                </c:pt>
                <c:pt idx="8">
                  <c:v>16.0</c:v>
                </c:pt>
                <c:pt idx="9">
                  <c:v>9.0</c:v>
                </c:pt>
                <c:pt idx="10">
                  <c:v>22.0</c:v>
                </c:pt>
                <c:pt idx="11">
                  <c:v>5.0</c:v>
                </c:pt>
                <c:pt idx="12">
                  <c:v>13.0</c:v>
                </c:pt>
                <c:pt idx="13">
                  <c:v>7.0</c:v>
                </c:pt>
                <c:pt idx="14">
                  <c:v>2.0</c:v>
                </c:pt>
                <c:pt idx="15">
                  <c:v>0.0</c:v>
                </c:pt>
                <c:pt idx="16">
                  <c:v>4.0</c:v>
                </c:pt>
                <c:pt idx="17">
                  <c:v>3.0</c:v>
                </c:pt>
                <c:pt idx="18">
                  <c:v>1.0</c:v>
                </c:pt>
                <c:pt idx="19">
                  <c:v>0.0</c:v>
                </c:pt>
                <c:pt idx="20">
                  <c:v>1.0</c:v>
                </c:pt>
                <c:pt idx="21">
                  <c:v>1.0</c:v>
                </c:pt>
                <c:pt idx="22">
                  <c:v>4.0</c:v>
                </c:pt>
                <c:pt idx="23">
                  <c:v>2.0</c:v>
                </c:pt>
                <c:pt idx="24">
                  <c:v>2.0</c:v>
                </c:pt>
                <c:pt idx="25">
                  <c:v>0.0</c:v>
                </c:pt>
                <c:pt idx="26">
                  <c:v>0.0</c:v>
                </c:pt>
                <c:pt idx="27">
                  <c:v>0.0</c:v>
                </c:pt>
                <c:pt idx="28">
                  <c:v>1.0</c:v>
                </c:pt>
                <c:pt idx="29">
                  <c:v>2.0</c:v>
                </c:pt>
              </c:numCache>
            </c:numRef>
          </c:val>
          <c:smooth val="0"/>
        </c:ser>
        <c:ser>
          <c:idx val="1"/>
          <c:order val="1"/>
          <c:tx>
            <c:strRef>
              <c:f>Feuil1!$C$63</c:f>
              <c:strCache>
                <c:ptCount val="1"/>
                <c:pt idx="0">
                  <c:v>Sans-Abri</c:v>
                </c:pt>
              </c:strCache>
            </c:strRef>
          </c:tx>
          <c:spPr>
            <a:ln w="3175">
              <a:solidFill>
                <a:srgbClr val="0000D4"/>
              </a:solidFill>
              <a:prstDash val="solid"/>
            </a:ln>
          </c:spPr>
          <c:marker>
            <c:symbol val="square"/>
            <c:size val="3"/>
            <c:spPr>
              <a:solidFill>
                <a:srgbClr val="FFFFFF"/>
              </a:solidFill>
              <a:ln>
                <a:solidFill>
                  <a:srgbClr val="0000D4"/>
                </a:solidFill>
                <a:prstDash val="solid"/>
              </a:ln>
            </c:spPr>
          </c:marker>
          <c:cat>
            <c:strRef>
              <c:f>Feuil1!$A$64:$A$93</c:f>
              <c:strCach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strCache>
            </c:strRef>
          </c:cat>
          <c:val>
            <c:numRef>
              <c:f>Feuil1!$C$64:$C$93</c:f>
              <c:numCache>
                <c:formatCode>General</c:formatCode>
                <c:ptCount val="30"/>
                <c:pt idx="0">
                  <c:v>0.0</c:v>
                </c:pt>
                <c:pt idx="1">
                  <c:v>1.0</c:v>
                </c:pt>
                <c:pt idx="2">
                  <c:v>8.0</c:v>
                </c:pt>
                <c:pt idx="3">
                  <c:v>1.0</c:v>
                </c:pt>
                <c:pt idx="4">
                  <c:v>26.0</c:v>
                </c:pt>
                <c:pt idx="5">
                  <c:v>9.0</c:v>
                </c:pt>
                <c:pt idx="6">
                  <c:v>2.0</c:v>
                </c:pt>
                <c:pt idx="7">
                  <c:v>3.0</c:v>
                </c:pt>
                <c:pt idx="8">
                  <c:v>9.0</c:v>
                </c:pt>
                <c:pt idx="9">
                  <c:v>12.0</c:v>
                </c:pt>
                <c:pt idx="10">
                  <c:v>58.0</c:v>
                </c:pt>
                <c:pt idx="11">
                  <c:v>53.0</c:v>
                </c:pt>
                <c:pt idx="12">
                  <c:v>37.0</c:v>
                </c:pt>
                <c:pt idx="13">
                  <c:v>27.0</c:v>
                </c:pt>
                <c:pt idx="14">
                  <c:v>24.0</c:v>
                </c:pt>
                <c:pt idx="15">
                  <c:v>25.0</c:v>
                </c:pt>
                <c:pt idx="16">
                  <c:v>10.0</c:v>
                </c:pt>
                <c:pt idx="17">
                  <c:v>7.0</c:v>
                </c:pt>
                <c:pt idx="18">
                  <c:v>9.0</c:v>
                </c:pt>
                <c:pt idx="19">
                  <c:v>12.0</c:v>
                </c:pt>
                <c:pt idx="20">
                  <c:v>64.0</c:v>
                </c:pt>
                <c:pt idx="21">
                  <c:v>34.0</c:v>
                </c:pt>
                <c:pt idx="22">
                  <c:v>112.0</c:v>
                </c:pt>
                <c:pt idx="23">
                  <c:v>68.0</c:v>
                </c:pt>
                <c:pt idx="24">
                  <c:v>94.0</c:v>
                </c:pt>
                <c:pt idx="25">
                  <c:v>60.0</c:v>
                </c:pt>
                <c:pt idx="26">
                  <c:v>75.0</c:v>
                </c:pt>
                <c:pt idx="27">
                  <c:v>115.0</c:v>
                </c:pt>
                <c:pt idx="28">
                  <c:v>60.0</c:v>
                </c:pt>
                <c:pt idx="29">
                  <c:v>55.0</c:v>
                </c:pt>
              </c:numCache>
            </c:numRef>
          </c:val>
          <c:smooth val="0"/>
        </c:ser>
        <c:ser>
          <c:idx val="2"/>
          <c:order val="2"/>
          <c:tx>
            <c:strRef>
              <c:f>Feuil1!$E$63</c:f>
              <c:strCache>
                <c:ptCount val="1"/>
                <c:pt idx="0">
                  <c:v>SDF</c:v>
                </c:pt>
              </c:strCache>
            </c:strRef>
          </c:tx>
          <c:spPr>
            <a:ln>
              <a:solidFill>
                <a:srgbClr val="FF0000"/>
              </a:solidFill>
            </a:ln>
          </c:spPr>
          <c:marker>
            <c:symbol val="none"/>
          </c:marker>
          <c:cat>
            <c:strRef>
              <c:f>Feuil1!$A$64:$A$93</c:f>
              <c:strCach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strCache>
            </c:strRef>
          </c:cat>
          <c:val>
            <c:numRef>
              <c:f>Feuil1!$E$64:$E$93</c:f>
              <c:numCache>
                <c:formatCode>General</c:formatCode>
                <c:ptCount val="30"/>
                <c:pt idx="0">
                  <c:v>0.0</c:v>
                </c:pt>
                <c:pt idx="1">
                  <c:v>0.0</c:v>
                </c:pt>
                <c:pt idx="2">
                  <c:v>1.0</c:v>
                </c:pt>
                <c:pt idx="3">
                  <c:v>0.0</c:v>
                </c:pt>
                <c:pt idx="4">
                  <c:v>0.0</c:v>
                </c:pt>
                <c:pt idx="5">
                  <c:v>0.0</c:v>
                </c:pt>
                <c:pt idx="6">
                  <c:v>1.0</c:v>
                </c:pt>
                <c:pt idx="7">
                  <c:v>0.0</c:v>
                </c:pt>
                <c:pt idx="8">
                  <c:v>0.0</c:v>
                </c:pt>
                <c:pt idx="9">
                  <c:v>2.0</c:v>
                </c:pt>
                <c:pt idx="10">
                  <c:v>156.0</c:v>
                </c:pt>
                <c:pt idx="11">
                  <c:v>168.0</c:v>
                </c:pt>
                <c:pt idx="12">
                  <c:v>181.0</c:v>
                </c:pt>
                <c:pt idx="13">
                  <c:v>144.0</c:v>
                </c:pt>
                <c:pt idx="14">
                  <c:v>100.0</c:v>
                </c:pt>
                <c:pt idx="15">
                  <c:v>136.0</c:v>
                </c:pt>
                <c:pt idx="16">
                  <c:v>68.0</c:v>
                </c:pt>
                <c:pt idx="17">
                  <c:v>74.0</c:v>
                </c:pt>
                <c:pt idx="18">
                  <c:v>92.0</c:v>
                </c:pt>
                <c:pt idx="19">
                  <c:v>97.0</c:v>
                </c:pt>
                <c:pt idx="20">
                  <c:v>140.0</c:v>
                </c:pt>
                <c:pt idx="21">
                  <c:v>96.0</c:v>
                </c:pt>
                <c:pt idx="22">
                  <c:v>188.0</c:v>
                </c:pt>
                <c:pt idx="23">
                  <c:v>297.0</c:v>
                </c:pt>
                <c:pt idx="24">
                  <c:v>574.0</c:v>
                </c:pt>
                <c:pt idx="25">
                  <c:v>258.0</c:v>
                </c:pt>
                <c:pt idx="26">
                  <c:v>195.0</c:v>
                </c:pt>
                <c:pt idx="27">
                  <c:v>120.0</c:v>
                </c:pt>
                <c:pt idx="28">
                  <c:v>98.0</c:v>
                </c:pt>
                <c:pt idx="29">
                  <c:v>150.0</c:v>
                </c:pt>
              </c:numCache>
            </c:numRef>
          </c:val>
          <c:smooth val="0"/>
        </c:ser>
        <c:ser>
          <c:idx val="4"/>
          <c:order val="3"/>
          <c:tx>
            <c:strRef>
              <c:f>Feuil1!$F$63</c:f>
              <c:strCache>
                <c:ptCount val="1"/>
              </c:strCache>
            </c:strRef>
          </c:tx>
          <c:cat>
            <c:strRef>
              <c:f>Feuil1!$A$64:$A$93</c:f>
              <c:strCache>
                <c:ptCount val="30"/>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strCache>
            </c:strRef>
          </c:cat>
          <c:val>
            <c:numRef>
              <c:f>Feuil1!$F$64:$F$93</c:f>
              <c:numCache>
                <c:formatCode>General</c:formatCode>
                <c:ptCount val="30"/>
              </c:numCache>
            </c:numRef>
          </c:val>
          <c:smooth val="0"/>
        </c:ser>
        <c:dLbls>
          <c:showLegendKey val="0"/>
          <c:showVal val="0"/>
          <c:showCatName val="0"/>
          <c:showSerName val="0"/>
          <c:showPercent val="0"/>
          <c:showBubbleSize val="0"/>
        </c:dLbls>
        <c:marker val="1"/>
        <c:smooth val="0"/>
        <c:axId val="1821909384"/>
        <c:axId val="2093537528"/>
      </c:lineChart>
      <c:catAx>
        <c:axId val="1821909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fr-FR"/>
          </a:p>
        </c:txPr>
        <c:crossAx val="2093537528"/>
        <c:crosses val="autoZero"/>
        <c:auto val="1"/>
        <c:lblAlgn val="ctr"/>
        <c:lblOffset val="100"/>
        <c:tickLblSkip val="1"/>
        <c:tickMarkSkip val="1"/>
        <c:noMultiLvlLbl val="0"/>
      </c:catAx>
      <c:valAx>
        <c:axId val="2093537528"/>
        <c:scaling>
          <c:orientation val="minMax"/>
          <c:max val="600.0"/>
        </c:scaling>
        <c:delete val="0"/>
        <c:axPos val="l"/>
        <c:majorGridlines>
          <c:spPr>
            <a:ln w="3175">
              <a:solidFill>
                <a:srgbClr val="000000"/>
              </a:solidFill>
              <a:prstDash val="sysDash"/>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fr-FR"/>
          </a:p>
        </c:txPr>
        <c:crossAx val="1821909384"/>
        <c:crosses val="autoZero"/>
        <c:crossBetween val="between"/>
      </c:valAx>
      <c:spPr>
        <a:noFill/>
        <a:ln w="25400">
          <a:noFill/>
        </a:ln>
      </c:spPr>
    </c:plotArea>
    <c:legend>
      <c:legendPos val="b"/>
      <c:legendEntry>
        <c:idx val="3"/>
        <c:delete val="1"/>
      </c:legendEntry>
      <c:layout>
        <c:manualLayout>
          <c:xMode val="edge"/>
          <c:yMode val="edge"/>
          <c:x val="0.261342927869802"/>
          <c:y val="0.929164851733959"/>
          <c:w val="0.436446949148079"/>
          <c:h val="0.0624430390350142"/>
        </c:manualLayout>
      </c:layout>
      <c:overlay val="0"/>
      <c:spPr>
        <a:solidFill>
          <a:srgbClr val="FFFFFF"/>
        </a:solidFill>
        <a:ln w="25400">
          <a:noFill/>
        </a:ln>
      </c:spPr>
    </c:legend>
    <c:plotVisOnly val="1"/>
    <c:dispBlanksAs val="gap"/>
    <c:showDLblsOverMax val="0"/>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fr-F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'Tableau 2 complémentaire '!$B$25</c:f>
              <c:strCache>
                <c:ptCount val="1"/>
                <c:pt idx="0">
                  <c:v>XXX</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'Tableau 2 complémentaire '!$A$26:$A$30</c:f>
              <c:strCache>
                <c:ptCount val="5"/>
                <c:pt idx="0">
                  <c:v>sans abri</c:v>
                </c:pt>
                <c:pt idx="1">
                  <c:v>en hébergement collectif qu'on doit quitter le matin</c:v>
                </c:pt>
                <c:pt idx="2">
                  <c:v>en hôtel</c:v>
                </c:pt>
                <c:pt idx="3">
                  <c:v>en logement</c:v>
                </c:pt>
                <c:pt idx="4">
                  <c:v>en hébergement collectif où on peut rester pendant la journée</c:v>
                </c:pt>
              </c:strCache>
            </c:strRef>
          </c:cat>
          <c:val>
            <c:numRef>
              <c:f>'Tableau 2 complémentaire '!$B$26:$B$30</c:f>
              <c:numCache>
                <c:formatCode>0</c:formatCode>
                <c:ptCount val="5"/>
                <c:pt idx="0">
                  <c:v>9.0</c:v>
                </c:pt>
                <c:pt idx="1">
                  <c:v>11.0</c:v>
                </c:pt>
                <c:pt idx="2">
                  <c:v>12.0</c:v>
                </c:pt>
                <c:pt idx="3">
                  <c:v>33.0</c:v>
                </c:pt>
                <c:pt idx="4">
                  <c:v>35.0</c:v>
                </c:pt>
              </c:numCache>
            </c:numRef>
          </c:val>
        </c:ser>
        <c:dLbls>
          <c:showLegendKey val="0"/>
          <c:showVal val="0"/>
          <c:showCatName val="0"/>
          <c:showSerName val="0"/>
          <c:showPercent val="0"/>
          <c:showBubbleSize val="0"/>
        </c:dLbls>
        <c:gapWidth val="150"/>
        <c:axId val="1820383320"/>
        <c:axId val="1820386072"/>
      </c:barChart>
      <c:catAx>
        <c:axId val="1820383320"/>
        <c:scaling>
          <c:orientation val="minMax"/>
        </c:scaling>
        <c:delete val="0"/>
        <c:axPos val="b"/>
        <c:numFmt formatCode="General" sourceLinked="0"/>
        <c:majorTickMark val="out"/>
        <c:minorTickMark val="none"/>
        <c:tickLblPos val="nextTo"/>
        <c:crossAx val="1820386072"/>
        <c:crosses val="autoZero"/>
        <c:auto val="1"/>
        <c:lblAlgn val="ctr"/>
        <c:lblOffset val="100"/>
        <c:noMultiLvlLbl val="0"/>
      </c:catAx>
      <c:valAx>
        <c:axId val="1820386072"/>
        <c:scaling>
          <c:orientation val="minMax"/>
        </c:scaling>
        <c:delete val="0"/>
        <c:axPos val="l"/>
        <c:majorGridlines/>
        <c:numFmt formatCode="0" sourceLinked="1"/>
        <c:majorTickMark val="out"/>
        <c:minorTickMark val="none"/>
        <c:tickLblPos val="nextTo"/>
        <c:crossAx val="1820383320"/>
        <c:crosses val="autoZero"/>
        <c:crossBetween val="between"/>
      </c:valAx>
    </c:plotArea>
    <c:plotVisOnly val="1"/>
    <c:dispBlanksAs val="gap"/>
    <c:showDLblsOverMax val="0"/>
  </c:chart>
  <c:spPr>
    <a:ln>
      <a:noFill/>
    </a:ln>
  </c:spPr>
  <c:txPr>
    <a:bodyPr/>
    <a:lstStyle/>
    <a:p>
      <a:pPr>
        <a:defRPr sz="1050" b="1"/>
      </a:pPr>
      <a:endParaRPr lang="fr-FR"/>
    </a:p>
  </c:txPr>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Nouvelle présentation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fontScheme name="Nouvelle présentation">
    <a:majorFont>
      <a:latin typeface="Times New Roman"/>
      <a:ea typeface=""/>
      <a:cs typeface=""/>
    </a:majorFont>
    <a:minorFont>
      <a:latin typeface="Times New Roma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1E984-3513-5642-A551-B1CC3456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2503</Words>
  <Characters>14020</Characters>
  <Application>Microsoft Macintosh Word</Application>
  <DocSecurity>0</DocSecurity>
  <Lines>368</Lines>
  <Paragraphs>65</Paragraphs>
  <ScaleCrop>false</ScaleCrop>
  <Company/>
  <LinksUpToDate>false</LinksUpToDate>
  <CharactersWithSpaces>16458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Damon</dc:creator>
  <cp:keywords/>
  <cp:lastModifiedBy>Julien Damon</cp:lastModifiedBy>
  <cp:revision>3</cp:revision>
  <dcterms:created xsi:type="dcterms:W3CDTF">2014-08-17T16:17:00Z</dcterms:created>
  <dcterms:modified xsi:type="dcterms:W3CDTF">2014-08-17T16:19:00Z</dcterms:modified>
</cp:coreProperties>
</file>