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C7299" w14:textId="5DD84D35" w:rsidR="00687392" w:rsidRPr="007258E4" w:rsidRDefault="00687392" w:rsidP="00F17F60">
      <w:pPr>
        <w:jc w:val="center"/>
        <w:rPr>
          <w:rFonts w:ascii="Times New Roman" w:hAnsi="Times New Roman" w:cs="Times New Roman"/>
          <w:b/>
          <w:color w:val="000000" w:themeColor="text1"/>
        </w:rPr>
      </w:pPr>
      <w:r w:rsidRPr="007258E4">
        <w:rPr>
          <w:rFonts w:ascii="Times New Roman" w:hAnsi="Times New Roman" w:cs="Times New Roman"/>
          <w:b/>
          <w:color w:val="000000" w:themeColor="text1"/>
        </w:rPr>
        <w:t xml:space="preserve">La satisfaction à l’égard des </w:t>
      </w:r>
      <w:r w:rsidR="00335DDF" w:rsidRPr="007258E4">
        <w:rPr>
          <w:rFonts w:ascii="Times New Roman" w:hAnsi="Times New Roman" w:cs="Times New Roman"/>
          <w:b/>
          <w:color w:val="000000" w:themeColor="text1"/>
        </w:rPr>
        <w:t>gares et des trains</w:t>
      </w:r>
      <w:r w:rsidR="00321325" w:rsidRPr="007258E4">
        <w:rPr>
          <w:rFonts w:ascii="Times New Roman" w:hAnsi="Times New Roman" w:cs="Times New Roman"/>
          <w:b/>
          <w:color w:val="000000" w:themeColor="text1"/>
        </w:rPr>
        <w:t>, en France et en Europe</w:t>
      </w:r>
    </w:p>
    <w:p w14:paraId="5FF538EA" w14:textId="77777777" w:rsidR="00687392" w:rsidRPr="007258E4" w:rsidRDefault="00687392" w:rsidP="00F17F60">
      <w:pPr>
        <w:jc w:val="center"/>
        <w:rPr>
          <w:rFonts w:ascii="Times New Roman" w:hAnsi="Times New Roman" w:cs="Times New Roman"/>
          <w:color w:val="000000" w:themeColor="text1"/>
        </w:rPr>
      </w:pPr>
    </w:p>
    <w:p w14:paraId="5D9540F9" w14:textId="77777777" w:rsidR="00687392" w:rsidRPr="007258E4" w:rsidRDefault="00687392" w:rsidP="00F17F60">
      <w:pPr>
        <w:jc w:val="center"/>
        <w:rPr>
          <w:rFonts w:ascii="Times New Roman" w:hAnsi="Times New Roman" w:cs="Times New Roman"/>
          <w:color w:val="000000" w:themeColor="text1"/>
        </w:rPr>
      </w:pPr>
      <w:r w:rsidRPr="007258E4">
        <w:rPr>
          <w:rFonts w:ascii="Times New Roman" w:hAnsi="Times New Roman" w:cs="Times New Roman"/>
          <w:color w:val="000000" w:themeColor="text1"/>
        </w:rPr>
        <w:t>Julien Damon</w:t>
      </w:r>
    </w:p>
    <w:p w14:paraId="41EA73BD" w14:textId="77777777" w:rsidR="00687392" w:rsidRPr="007258E4" w:rsidRDefault="00687392" w:rsidP="00F17F60">
      <w:pPr>
        <w:jc w:val="center"/>
        <w:rPr>
          <w:rFonts w:ascii="Times New Roman" w:hAnsi="Times New Roman" w:cs="Times New Roman"/>
          <w:color w:val="000000" w:themeColor="text1"/>
        </w:rPr>
      </w:pPr>
      <w:r w:rsidRPr="007258E4">
        <w:rPr>
          <w:rFonts w:ascii="Times New Roman" w:hAnsi="Times New Roman" w:cs="Times New Roman"/>
          <w:color w:val="000000" w:themeColor="text1"/>
        </w:rPr>
        <w:t>Professeur associé à Sciences Po (Master Urbanisme)</w:t>
      </w:r>
    </w:p>
    <w:p w14:paraId="5A66E6FC" w14:textId="77777777" w:rsidR="003844FF" w:rsidRPr="007258E4" w:rsidRDefault="00687392" w:rsidP="00F17F60">
      <w:pPr>
        <w:jc w:val="both"/>
        <w:rPr>
          <w:rFonts w:ascii="Times New Roman" w:hAnsi="Times New Roman" w:cs="Times New Roman"/>
          <w:color w:val="000000" w:themeColor="text1"/>
        </w:rPr>
      </w:pPr>
      <w:r w:rsidRPr="007258E4">
        <w:rPr>
          <w:rFonts w:ascii="Times New Roman" w:hAnsi="Times New Roman" w:cs="Times New Roman"/>
          <w:color w:val="000000" w:themeColor="text1"/>
        </w:rPr>
        <w:t xml:space="preserve">
</w:t>
      </w:r>
    </w:p>
    <w:p w14:paraId="38B83CC5" w14:textId="77777777" w:rsidR="00687392" w:rsidRPr="007258E4" w:rsidRDefault="00687392" w:rsidP="00F17F60">
      <w:pPr>
        <w:jc w:val="both"/>
        <w:rPr>
          <w:rFonts w:ascii="Times New Roman" w:hAnsi="Times New Roman" w:cs="Times New Roman"/>
          <w:color w:val="000000" w:themeColor="text1"/>
        </w:rPr>
      </w:pPr>
    </w:p>
    <w:p w14:paraId="13AAE445" w14:textId="4F5CE46B" w:rsidR="00BF617C" w:rsidRPr="007258E4" w:rsidRDefault="00165D2A" w:rsidP="00F17F60">
      <w:pPr>
        <w:jc w:val="both"/>
        <w:rPr>
          <w:rFonts w:ascii="Times New Roman" w:hAnsi="Times New Roman" w:cs="Times New Roman"/>
          <w:b/>
          <w:color w:val="000000" w:themeColor="text1"/>
        </w:rPr>
      </w:pPr>
      <w:r w:rsidRPr="007258E4">
        <w:rPr>
          <w:rFonts w:ascii="Times New Roman" w:hAnsi="Times New Roman" w:cs="Times New Roman"/>
          <w:b/>
          <w:color w:val="000000" w:themeColor="text1"/>
        </w:rPr>
        <w:t>Une</w:t>
      </w:r>
      <w:r w:rsidR="00BF617C" w:rsidRPr="007258E4">
        <w:rPr>
          <w:rFonts w:ascii="Times New Roman" w:hAnsi="Times New Roman" w:cs="Times New Roman"/>
          <w:b/>
          <w:color w:val="000000" w:themeColor="text1"/>
        </w:rPr>
        <w:t xml:space="preserve"> multitude de sondages ponctuels et d’études </w:t>
      </w:r>
      <w:r w:rsidR="00C76184" w:rsidRPr="007258E4">
        <w:rPr>
          <w:rFonts w:ascii="Times New Roman" w:hAnsi="Times New Roman" w:cs="Times New Roman"/>
          <w:b/>
          <w:color w:val="000000" w:themeColor="text1"/>
        </w:rPr>
        <w:t>mesure</w:t>
      </w:r>
      <w:r w:rsidRPr="007258E4">
        <w:rPr>
          <w:rFonts w:ascii="Times New Roman" w:hAnsi="Times New Roman" w:cs="Times New Roman"/>
          <w:b/>
          <w:color w:val="000000" w:themeColor="text1"/>
        </w:rPr>
        <w:t xml:space="preserve"> les niveaux de satisfaction et les aspirations à l’égard des trains et des gares. Partout dans l’Union européenne, des démarches de ce type autorisent une mise en évidence des opinions des voyageurs comme de l’ensemble de la population. Ces travaux sont, pour l’essentiel, nationaux ou infranationaux. Deux enquêtes récentes, menées</w:t>
      </w:r>
      <w:r w:rsidR="00C76184" w:rsidRPr="007258E4">
        <w:rPr>
          <w:rFonts w:ascii="Times New Roman" w:hAnsi="Times New Roman" w:cs="Times New Roman"/>
          <w:b/>
          <w:color w:val="000000" w:themeColor="text1"/>
        </w:rPr>
        <w:t xml:space="preserve"> en 2011 et 2013,</w:t>
      </w:r>
      <w:r w:rsidRPr="007258E4">
        <w:rPr>
          <w:rFonts w:ascii="Times New Roman" w:hAnsi="Times New Roman" w:cs="Times New Roman"/>
          <w:b/>
          <w:color w:val="000000" w:themeColor="text1"/>
        </w:rPr>
        <w:t xml:space="preserve"> pour le compte de l’</w:t>
      </w:r>
      <w:r w:rsidR="00C76184" w:rsidRPr="007258E4">
        <w:rPr>
          <w:rFonts w:ascii="Times New Roman" w:hAnsi="Times New Roman" w:cs="Times New Roman"/>
          <w:b/>
          <w:color w:val="000000" w:themeColor="text1"/>
        </w:rPr>
        <w:t xml:space="preserve">institut statistique européen (Eurostat), permettent une visualisation européenne de la satisfaction en ce qui concerne les services ferroviaires. Ces données autorisent des comparaisons mais également des précisions quant à la situation relative de la France. </w:t>
      </w:r>
    </w:p>
    <w:p w14:paraId="1E03F27A" w14:textId="77777777" w:rsidR="00BF617C" w:rsidRPr="007258E4" w:rsidRDefault="00BF617C" w:rsidP="00F17F60">
      <w:pPr>
        <w:jc w:val="both"/>
        <w:rPr>
          <w:rFonts w:ascii="Times New Roman" w:hAnsi="Times New Roman" w:cs="Times New Roman"/>
          <w:color w:val="000000" w:themeColor="text1"/>
        </w:rPr>
      </w:pPr>
    </w:p>
    <w:p w14:paraId="0F0028A3" w14:textId="17249B15" w:rsidR="00687392" w:rsidRPr="007258E4" w:rsidRDefault="00687392" w:rsidP="00F17F60">
      <w:pPr>
        <w:jc w:val="both"/>
        <w:rPr>
          <w:rFonts w:ascii="Times New Roman" w:hAnsi="Times New Roman" w:cs="Times New Roman"/>
          <w:color w:val="000000" w:themeColor="text1"/>
        </w:rPr>
      </w:pPr>
      <w:r w:rsidRPr="007258E4">
        <w:rPr>
          <w:rFonts w:ascii="Times New Roman" w:hAnsi="Times New Roman" w:cs="Times New Roman"/>
          <w:color w:val="000000" w:themeColor="text1"/>
        </w:rPr>
        <w:t>Cet article synthétise</w:t>
      </w:r>
      <w:r w:rsidR="00ED761F" w:rsidRPr="007258E4">
        <w:rPr>
          <w:rFonts w:ascii="Times New Roman" w:hAnsi="Times New Roman" w:cs="Times New Roman"/>
          <w:color w:val="000000" w:themeColor="text1"/>
        </w:rPr>
        <w:t xml:space="preserve"> et commente</w:t>
      </w:r>
      <w:r w:rsidRPr="007258E4">
        <w:rPr>
          <w:rFonts w:ascii="Times New Roman" w:hAnsi="Times New Roman" w:cs="Times New Roman"/>
          <w:color w:val="000000" w:themeColor="text1"/>
        </w:rPr>
        <w:t xml:space="preserve"> les résultats d’une enquête menée, à l’automne 2013, dans les 26 pays de l’Union dotés d’un réseau de chemin de fer. L’enquête porte sur la satisfaction à l’égard des gares et des trains. Elle est, en partie, comparable avec une autre enquête européenne réalisée en 2011, ce qui permet de signaler </w:t>
      </w:r>
      <w:r w:rsidR="00F17F60" w:rsidRPr="007258E4">
        <w:rPr>
          <w:rFonts w:ascii="Times New Roman" w:hAnsi="Times New Roman" w:cs="Times New Roman"/>
          <w:color w:val="000000" w:themeColor="text1"/>
        </w:rPr>
        <w:t>certaines</w:t>
      </w:r>
      <w:r w:rsidRPr="007258E4">
        <w:rPr>
          <w:rFonts w:ascii="Times New Roman" w:hAnsi="Times New Roman" w:cs="Times New Roman"/>
          <w:color w:val="000000" w:themeColor="text1"/>
        </w:rPr>
        <w:t xml:space="preserve"> évolutions.</w:t>
      </w:r>
    </w:p>
    <w:p w14:paraId="1423AB3E" w14:textId="77777777" w:rsidR="00687392" w:rsidRPr="007258E4" w:rsidRDefault="00687392" w:rsidP="00F17F60">
      <w:pPr>
        <w:jc w:val="both"/>
        <w:rPr>
          <w:rFonts w:ascii="Times New Roman" w:hAnsi="Times New Roman" w:cs="Times New Roman"/>
          <w:color w:val="000000" w:themeColor="text1"/>
        </w:rPr>
      </w:pPr>
      <w:r w:rsidRPr="007258E4">
        <w:rPr>
          <w:rFonts w:ascii="Times New Roman" w:hAnsi="Times New Roman" w:cs="Times New Roman"/>
          <w:color w:val="000000" w:themeColor="text1"/>
        </w:rPr>
        <w:t xml:space="preserve">
</w:t>
      </w:r>
    </w:p>
    <w:p w14:paraId="5CAF75F3" w14:textId="6361BF51" w:rsidR="00687392" w:rsidRPr="007258E4" w:rsidRDefault="00687392" w:rsidP="00F17F60">
      <w:pPr>
        <w:jc w:val="both"/>
        <w:rPr>
          <w:rFonts w:ascii="Times New Roman" w:hAnsi="Times New Roman" w:cs="Times New Roman"/>
          <w:color w:val="000000" w:themeColor="text1"/>
        </w:rPr>
      </w:pPr>
      <w:r w:rsidRPr="007258E4">
        <w:rPr>
          <w:rFonts w:ascii="Times New Roman" w:hAnsi="Times New Roman" w:cs="Times New Roman"/>
          <w:color w:val="000000" w:themeColor="text1"/>
        </w:rPr>
        <w:t>On rend compte des principaux résultats en soulignant systématiquement la place occupée par la France dans les classements qu’il est possible d’établir.
Il s’agit d’un</w:t>
      </w:r>
      <w:r w:rsidR="00ED761F" w:rsidRPr="007258E4">
        <w:rPr>
          <w:rFonts w:ascii="Times New Roman" w:hAnsi="Times New Roman" w:cs="Times New Roman"/>
          <w:color w:val="000000" w:themeColor="text1"/>
        </w:rPr>
        <w:t>e</w:t>
      </w:r>
      <w:r w:rsidRPr="007258E4">
        <w:rPr>
          <w:rFonts w:ascii="Times New Roman" w:hAnsi="Times New Roman" w:cs="Times New Roman"/>
          <w:color w:val="000000" w:themeColor="text1"/>
        </w:rPr>
        <w:t xml:space="preserve"> collection de graphiques </w:t>
      </w:r>
      <w:r w:rsidR="00F17F60" w:rsidRPr="007258E4">
        <w:rPr>
          <w:rFonts w:ascii="Times New Roman" w:hAnsi="Times New Roman" w:cs="Times New Roman"/>
          <w:color w:val="000000" w:themeColor="text1"/>
        </w:rPr>
        <w:t>assortis de rapides éclaircissements et interprétations</w:t>
      </w:r>
      <w:r w:rsidRPr="007258E4">
        <w:rPr>
          <w:rFonts w:ascii="Times New Roman" w:hAnsi="Times New Roman" w:cs="Times New Roman"/>
          <w:color w:val="000000" w:themeColor="text1"/>
        </w:rPr>
        <w:t xml:space="preserve">, permettant de situer la place occupée par les gares et les trains français, dans l’ensemble des opinions et des mesures de satisfaction européennes. </w:t>
      </w:r>
      <w:r w:rsidR="00B24266" w:rsidRPr="007258E4">
        <w:rPr>
          <w:rFonts w:ascii="Times New Roman" w:hAnsi="Times New Roman" w:cs="Times New Roman"/>
          <w:color w:val="000000" w:themeColor="text1"/>
        </w:rPr>
        <w:t xml:space="preserve">Tous les graphiques sont établis avec les données 2013, et signalent la situation spécifique de la France, avec une typographie différente des autres États membres. Quelques tableaux comparant les résultats 2011 et 2013 sont proposés sur les thèmes où la comparaison est possible. </w:t>
      </w:r>
    </w:p>
    <w:p w14:paraId="524CD8E6" w14:textId="77777777" w:rsidR="00687392" w:rsidRPr="007258E4" w:rsidRDefault="00687392" w:rsidP="00F17F60">
      <w:pPr>
        <w:jc w:val="both"/>
        <w:rPr>
          <w:rFonts w:ascii="Times New Roman" w:hAnsi="Times New Roman" w:cs="Times New Roman"/>
          <w:color w:val="000000" w:themeColor="text1"/>
        </w:rPr>
      </w:pPr>
      <w:r w:rsidRPr="007258E4">
        <w:rPr>
          <w:rFonts w:ascii="Times New Roman" w:hAnsi="Times New Roman" w:cs="Times New Roman"/>
          <w:color w:val="000000" w:themeColor="text1"/>
        </w:rPr>
        <w:t xml:space="preserve">
</w:t>
      </w:r>
    </w:p>
    <w:p w14:paraId="357FAEB2" w14:textId="26275C5B" w:rsidR="00F17F60" w:rsidRPr="007258E4" w:rsidRDefault="00F17F60" w:rsidP="00F17F60">
      <w:pPr>
        <w:jc w:val="center"/>
        <w:rPr>
          <w:rFonts w:ascii="Times New Roman" w:hAnsi="Times New Roman" w:cs="Times New Roman"/>
          <w:b/>
          <w:color w:val="000000" w:themeColor="text1"/>
          <w:sz w:val="22"/>
        </w:rPr>
      </w:pPr>
      <w:r w:rsidRPr="007258E4">
        <w:rPr>
          <w:rFonts w:ascii="Times New Roman" w:hAnsi="Times New Roman" w:cs="Times New Roman"/>
          <w:b/>
          <w:color w:val="000000" w:themeColor="text1"/>
          <w:sz w:val="22"/>
        </w:rPr>
        <w:t>***** ENCADRÉ Méthodologie des deux enquêtes ****</w:t>
      </w:r>
    </w:p>
    <w:p w14:paraId="172E7D29" w14:textId="2B08C3A3" w:rsidR="00F17F60" w:rsidRPr="007258E4" w:rsidRDefault="00F17F60" w:rsidP="00F17F60">
      <w:pPr>
        <w:jc w:val="both"/>
        <w:rPr>
          <w:rFonts w:ascii="Times New Roman" w:hAnsi="Times New Roman" w:cs="Times New Roman"/>
          <w:color w:val="000000" w:themeColor="text1"/>
          <w:sz w:val="22"/>
        </w:rPr>
      </w:pPr>
      <w:r w:rsidRPr="007258E4">
        <w:rPr>
          <w:rFonts w:ascii="Times New Roman" w:hAnsi="Times New Roman" w:cs="Times New Roman"/>
          <w:color w:val="000000" w:themeColor="text1"/>
          <w:sz w:val="22"/>
        </w:rPr>
        <w:t>Ces deux enquêtes ont été réalisées dans le cadre de l’« Eurobaromètre », la démarche générale de suivi de l’opinion publique, dans les États membres,</w:t>
      </w:r>
      <w:r w:rsidR="00B33891" w:rsidRPr="007258E4">
        <w:rPr>
          <w:rFonts w:ascii="Times New Roman" w:hAnsi="Times New Roman" w:cs="Times New Roman"/>
          <w:color w:val="000000" w:themeColor="text1"/>
          <w:sz w:val="22"/>
        </w:rPr>
        <w:t xml:space="preserve"> par la Commission européenne</w:t>
      </w:r>
      <w:r w:rsidRPr="007258E4">
        <w:rPr>
          <w:rFonts w:ascii="Times New Roman" w:hAnsi="Times New Roman" w:cs="Times New Roman"/>
          <w:color w:val="000000" w:themeColor="text1"/>
          <w:sz w:val="22"/>
        </w:rPr>
        <w:t xml:space="preserve">. </w:t>
      </w:r>
    </w:p>
    <w:p w14:paraId="054E30E1" w14:textId="77777777" w:rsidR="00F17F60" w:rsidRPr="007258E4" w:rsidRDefault="00F17F60" w:rsidP="00F17F60">
      <w:pPr>
        <w:jc w:val="both"/>
        <w:rPr>
          <w:rFonts w:ascii="Times New Roman" w:hAnsi="Times New Roman" w:cs="Times New Roman"/>
          <w:color w:val="000000" w:themeColor="text1"/>
          <w:sz w:val="22"/>
        </w:rPr>
      </w:pPr>
    </w:p>
    <w:p w14:paraId="4D2952EE" w14:textId="50849246" w:rsidR="00F17F60" w:rsidRPr="007258E4" w:rsidRDefault="00F17F60" w:rsidP="00F17F60">
      <w:pPr>
        <w:jc w:val="both"/>
        <w:rPr>
          <w:rFonts w:ascii="Times New Roman" w:hAnsi="Times New Roman" w:cs="Times New Roman"/>
          <w:color w:val="000000" w:themeColor="text1"/>
          <w:sz w:val="22"/>
        </w:rPr>
      </w:pPr>
      <w:r w:rsidRPr="007258E4">
        <w:rPr>
          <w:rFonts w:ascii="Times New Roman" w:hAnsi="Times New Roman" w:cs="Times New Roman"/>
          <w:color w:val="000000" w:themeColor="text1"/>
          <w:sz w:val="22"/>
        </w:rPr>
        <w:t xml:space="preserve">La première enquête, « Survey on </w:t>
      </w:r>
      <w:proofErr w:type="spellStart"/>
      <w:r w:rsidRPr="007258E4">
        <w:rPr>
          <w:rFonts w:ascii="Times New Roman" w:hAnsi="Times New Roman" w:cs="Times New Roman"/>
          <w:color w:val="000000" w:themeColor="text1"/>
          <w:sz w:val="22"/>
        </w:rPr>
        <w:t>passenger’s</w:t>
      </w:r>
      <w:proofErr w:type="spellEnd"/>
      <w:r w:rsidRPr="007258E4">
        <w:rPr>
          <w:rFonts w:ascii="Times New Roman" w:hAnsi="Times New Roman" w:cs="Times New Roman"/>
          <w:color w:val="000000" w:themeColor="text1"/>
          <w:sz w:val="22"/>
        </w:rPr>
        <w:t xml:space="preserve"> satisfaction </w:t>
      </w:r>
      <w:proofErr w:type="spellStart"/>
      <w:r w:rsidRPr="007258E4">
        <w:rPr>
          <w:rFonts w:ascii="Times New Roman" w:hAnsi="Times New Roman" w:cs="Times New Roman"/>
          <w:color w:val="000000" w:themeColor="text1"/>
          <w:sz w:val="22"/>
        </w:rPr>
        <w:t>with</w:t>
      </w:r>
      <w:proofErr w:type="spellEnd"/>
      <w:r w:rsidRPr="007258E4">
        <w:rPr>
          <w:rFonts w:ascii="Times New Roman" w:hAnsi="Times New Roman" w:cs="Times New Roman"/>
          <w:color w:val="000000" w:themeColor="text1"/>
          <w:sz w:val="22"/>
        </w:rPr>
        <w:t xml:space="preserve"> rail services » (Flash Eurobaromètre n° 326), a été conduite par Gallup pour le compte de la Direction générale Mobilité et Transports de la Commission. Elle a été réalisée en mars 2011 et ses résultats ont été publiés en juin 2011. Il s’agit d’une enquête par téléphone auprès d’échantillons représentatifs des populations nationales de personnes âgées de plus de 15 ans dans 25 États membres (Chypre et Malte ne disposant pas de réseau ferroviaire). Au total près de 10 000 entretiens ont été réalisés, avec des échantillons nationaux de 400 personnes environ. Relevons que la taille de ces 25 échantillons n’est pas très élevée, ce qui ne permet pas des traitements détaillées pour chacun des pays, mais ce qui autorise des classements entre les pays. La définition du « voyageur » est celle d’un passager qui a pris le train au moins une fois dans son pays au cours des douze derniers mois. Ne sont pas pris en considération les trains de banlieue. Cette première enquête porte donc essentiellement sur les voyageurs grandes lignes.</w:t>
      </w:r>
    </w:p>
    <w:p w14:paraId="761D5CB1" w14:textId="77777777" w:rsidR="00F17F60" w:rsidRPr="007258E4" w:rsidRDefault="00F17F60" w:rsidP="00F17F60">
      <w:pPr>
        <w:jc w:val="both"/>
        <w:rPr>
          <w:rFonts w:ascii="Times New Roman" w:hAnsi="Times New Roman" w:cs="Times New Roman"/>
          <w:color w:val="000000" w:themeColor="text1"/>
          <w:sz w:val="22"/>
        </w:rPr>
      </w:pPr>
    </w:p>
    <w:p w14:paraId="70F73693" w14:textId="57DA0047" w:rsidR="00F17F60" w:rsidRPr="007258E4" w:rsidRDefault="00F17F60" w:rsidP="00F17F60">
      <w:pPr>
        <w:jc w:val="both"/>
        <w:rPr>
          <w:rFonts w:ascii="Times New Roman" w:hAnsi="Times New Roman" w:cs="Times New Roman"/>
          <w:color w:val="000000" w:themeColor="text1"/>
          <w:sz w:val="22"/>
        </w:rPr>
      </w:pPr>
      <w:r w:rsidRPr="007258E4">
        <w:rPr>
          <w:rFonts w:ascii="Times New Roman" w:hAnsi="Times New Roman" w:cs="Times New Roman"/>
          <w:color w:val="000000" w:themeColor="text1"/>
          <w:sz w:val="22"/>
        </w:rPr>
        <w:t xml:space="preserve">La deuxième enquête, « </w:t>
      </w:r>
      <w:proofErr w:type="spellStart"/>
      <w:r w:rsidRPr="007258E4">
        <w:rPr>
          <w:rFonts w:ascii="Times New Roman" w:hAnsi="Times New Roman" w:cs="Times New Roman"/>
          <w:color w:val="000000" w:themeColor="text1"/>
          <w:sz w:val="22"/>
        </w:rPr>
        <w:t>Europeans</w:t>
      </w:r>
      <w:proofErr w:type="spellEnd"/>
      <w:r w:rsidRPr="007258E4">
        <w:rPr>
          <w:rFonts w:ascii="Times New Roman" w:hAnsi="Times New Roman" w:cs="Times New Roman"/>
          <w:color w:val="000000" w:themeColor="text1"/>
          <w:sz w:val="22"/>
        </w:rPr>
        <w:t xml:space="preserve">’ satisfaction </w:t>
      </w:r>
      <w:proofErr w:type="spellStart"/>
      <w:r w:rsidRPr="007258E4">
        <w:rPr>
          <w:rFonts w:ascii="Times New Roman" w:hAnsi="Times New Roman" w:cs="Times New Roman"/>
          <w:color w:val="000000" w:themeColor="text1"/>
          <w:sz w:val="22"/>
        </w:rPr>
        <w:t>with</w:t>
      </w:r>
      <w:proofErr w:type="spellEnd"/>
      <w:r w:rsidRPr="007258E4">
        <w:rPr>
          <w:rFonts w:ascii="Times New Roman" w:hAnsi="Times New Roman" w:cs="Times New Roman"/>
          <w:color w:val="000000" w:themeColor="text1"/>
          <w:sz w:val="22"/>
        </w:rPr>
        <w:t xml:space="preserve"> rail Services» (Flash Eurobaromètre n° 382a,  a été conduite par TNS pour le compte de la Direction générale Mobilité </w:t>
      </w:r>
      <w:r w:rsidR="00B33891" w:rsidRPr="007258E4">
        <w:rPr>
          <w:rFonts w:ascii="Times New Roman" w:hAnsi="Times New Roman" w:cs="Times New Roman"/>
          <w:color w:val="000000" w:themeColor="text1"/>
          <w:sz w:val="22"/>
        </w:rPr>
        <w:t xml:space="preserve">et Transports de la Commission. </w:t>
      </w:r>
      <w:r w:rsidRPr="007258E4">
        <w:rPr>
          <w:rFonts w:ascii="Times New Roman" w:hAnsi="Times New Roman" w:cs="Times New Roman"/>
          <w:color w:val="000000" w:themeColor="text1"/>
          <w:sz w:val="22"/>
        </w:rPr>
        <w:t>Elle a été réalisée en septembre 2013 et ses résultats ont été publiés en décembre 2013.</w:t>
      </w:r>
      <w:r w:rsidR="00B33891" w:rsidRPr="007258E4">
        <w:rPr>
          <w:rFonts w:ascii="Times New Roman" w:hAnsi="Times New Roman" w:cs="Times New Roman"/>
          <w:color w:val="000000" w:themeColor="text1"/>
          <w:sz w:val="22"/>
        </w:rPr>
        <w:t xml:space="preserve"> </w:t>
      </w:r>
      <w:r w:rsidRPr="007258E4">
        <w:rPr>
          <w:rFonts w:ascii="Times New Roman" w:hAnsi="Times New Roman" w:cs="Times New Roman"/>
          <w:color w:val="000000" w:themeColor="text1"/>
          <w:sz w:val="22"/>
        </w:rPr>
        <w:t>Il s’agit</w:t>
      </w:r>
      <w:r w:rsidR="00B33891" w:rsidRPr="007258E4">
        <w:rPr>
          <w:rFonts w:ascii="Times New Roman" w:hAnsi="Times New Roman" w:cs="Times New Roman"/>
          <w:color w:val="000000" w:themeColor="text1"/>
          <w:sz w:val="22"/>
        </w:rPr>
        <w:t>, comme la première,</w:t>
      </w:r>
      <w:r w:rsidRPr="007258E4">
        <w:rPr>
          <w:rFonts w:ascii="Times New Roman" w:hAnsi="Times New Roman" w:cs="Times New Roman"/>
          <w:color w:val="000000" w:themeColor="text1"/>
          <w:sz w:val="22"/>
        </w:rPr>
        <w:t xml:space="preserve"> d’une enquête par téléphone auprès d’échantillons représentatifs des populations nationales de personnes âgées de plus de 15 ans dans 26 États membres (Chypre et Malte ne disposant </w:t>
      </w:r>
      <w:r w:rsidR="00D917F2" w:rsidRPr="007258E4">
        <w:rPr>
          <w:rFonts w:ascii="Times New Roman" w:hAnsi="Times New Roman" w:cs="Times New Roman"/>
          <w:color w:val="000000" w:themeColor="text1"/>
          <w:sz w:val="22"/>
        </w:rPr>
        <w:t xml:space="preserve">toujours </w:t>
      </w:r>
      <w:r w:rsidRPr="007258E4">
        <w:rPr>
          <w:rFonts w:ascii="Times New Roman" w:hAnsi="Times New Roman" w:cs="Times New Roman"/>
          <w:color w:val="000000" w:themeColor="text1"/>
          <w:sz w:val="22"/>
        </w:rPr>
        <w:t xml:space="preserve">pas de réseau ferroviaire). Au total près de 26 000 entretiens ont été réalisés, avec des échantillons nationaux de 1 000 personnes. À la différence de la première enquête de 2011, cette fois-ci sont bien </w:t>
      </w:r>
      <w:proofErr w:type="gramStart"/>
      <w:r w:rsidRPr="007258E4">
        <w:rPr>
          <w:rFonts w:ascii="Times New Roman" w:hAnsi="Times New Roman" w:cs="Times New Roman"/>
          <w:color w:val="000000" w:themeColor="text1"/>
          <w:sz w:val="22"/>
        </w:rPr>
        <w:t>pris</w:t>
      </w:r>
      <w:proofErr w:type="gramEnd"/>
      <w:r w:rsidRPr="007258E4">
        <w:rPr>
          <w:rFonts w:ascii="Times New Roman" w:hAnsi="Times New Roman" w:cs="Times New Roman"/>
          <w:color w:val="000000" w:themeColor="text1"/>
          <w:sz w:val="22"/>
        </w:rPr>
        <w:t xml:space="preserve"> en considération les trains de banlieue. </w:t>
      </w:r>
    </w:p>
    <w:p w14:paraId="6414E03E" w14:textId="77777777" w:rsidR="00890280" w:rsidRPr="007258E4" w:rsidRDefault="00890280" w:rsidP="00F17F60">
      <w:pPr>
        <w:jc w:val="both"/>
        <w:rPr>
          <w:rFonts w:ascii="Times New Roman" w:hAnsi="Times New Roman" w:cs="Times New Roman"/>
          <w:color w:val="000000" w:themeColor="text1"/>
          <w:sz w:val="22"/>
        </w:rPr>
      </w:pPr>
    </w:p>
    <w:p w14:paraId="5F69E506" w14:textId="7C840C4A" w:rsidR="00890280" w:rsidRPr="007258E4" w:rsidRDefault="00890280" w:rsidP="00890280">
      <w:pPr>
        <w:jc w:val="both"/>
        <w:rPr>
          <w:rFonts w:ascii="Times New Roman" w:hAnsi="Times New Roman" w:cs="Times New Roman"/>
          <w:color w:val="000000" w:themeColor="text1"/>
        </w:rPr>
      </w:pPr>
      <w:r w:rsidRPr="007258E4">
        <w:rPr>
          <w:rFonts w:ascii="Times New Roman" w:hAnsi="Times New Roman" w:cs="Times New Roman"/>
          <w:color w:val="000000" w:themeColor="text1"/>
          <w:sz w:val="22"/>
        </w:rPr>
        <w:t xml:space="preserve">Les deux enquêtes ne sont pas parfaitement comparables en tout point, mais sur certaines questions formulées de la même manière il est possible de signaler des évolutions. Elles </w:t>
      </w:r>
      <w:r w:rsidRPr="007258E4">
        <w:rPr>
          <w:rFonts w:ascii="Times New Roman" w:hAnsi="Times New Roman" w:cs="Times New Roman"/>
          <w:color w:val="000000" w:themeColor="text1"/>
        </w:rPr>
        <w:t>sont disponibles sur le site de l’Eurobaromètre : http </w:t>
      </w:r>
      <w:proofErr w:type="gramStart"/>
      <w:r w:rsidRPr="007258E4">
        <w:rPr>
          <w:rFonts w:ascii="Times New Roman" w:hAnsi="Times New Roman" w:cs="Times New Roman"/>
          <w:color w:val="000000" w:themeColor="text1"/>
        </w:rPr>
        <w:t>:/</w:t>
      </w:r>
      <w:proofErr w:type="gramEnd"/>
      <w:r w:rsidRPr="007258E4">
        <w:rPr>
          <w:rFonts w:ascii="Times New Roman" w:hAnsi="Times New Roman" w:cs="Times New Roman"/>
          <w:color w:val="000000" w:themeColor="text1"/>
        </w:rPr>
        <w:t>/ec.europa.eu/</w:t>
      </w:r>
      <w:proofErr w:type="spellStart"/>
      <w:r w:rsidRPr="007258E4">
        <w:rPr>
          <w:rFonts w:ascii="Times New Roman" w:hAnsi="Times New Roman" w:cs="Times New Roman"/>
          <w:color w:val="000000" w:themeColor="text1"/>
        </w:rPr>
        <w:t>public_opinion</w:t>
      </w:r>
      <w:proofErr w:type="spellEnd"/>
      <w:r w:rsidRPr="007258E4">
        <w:rPr>
          <w:rFonts w:ascii="Times New Roman" w:hAnsi="Times New Roman" w:cs="Times New Roman"/>
          <w:color w:val="000000" w:themeColor="text1"/>
        </w:rPr>
        <w:t xml:space="preserve">/index_fr.htm </w:t>
      </w:r>
    </w:p>
    <w:p w14:paraId="0FEB954D" w14:textId="49807088" w:rsidR="00890280" w:rsidRPr="007258E4" w:rsidRDefault="00890280" w:rsidP="00F17F60">
      <w:pPr>
        <w:jc w:val="both"/>
        <w:rPr>
          <w:rFonts w:ascii="Times New Roman" w:hAnsi="Times New Roman" w:cs="Times New Roman"/>
          <w:color w:val="000000" w:themeColor="text1"/>
          <w:sz w:val="22"/>
        </w:rPr>
      </w:pPr>
    </w:p>
    <w:p w14:paraId="5EF79865" w14:textId="5B9E544C" w:rsidR="00890280" w:rsidRPr="007258E4" w:rsidRDefault="00890280" w:rsidP="00890280">
      <w:pPr>
        <w:jc w:val="center"/>
        <w:rPr>
          <w:rFonts w:ascii="Times New Roman" w:hAnsi="Times New Roman" w:cs="Times New Roman"/>
          <w:b/>
          <w:color w:val="000000" w:themeColor="text1"/>
          <w:sz w:val="22"/>
        </w:rPr>
      </w:pPr>
      <w:r w:rsidRPr="007258E4">
        <w:rPr>
          <w:rFonts w:ascii="Times New Roman" w:hAnsi="Times New Roman" w:cs="Times New Roman"/>
          <w:b/>
          <w:color w:val="000000" w:themeColor="text1"/>
          <w:sz w:val="22"/>
        </w:rPr>
        <w:t>***** ****</w:t>
      </w:r>
    </w:p>
    <w:p w14:paraId="01A1AA91" w14:textId="77777777" w:rsidR="00687392" w:rsidRPr="007258E4" w:rsidRDefault="00687392" w:rsidP="00F17F60">
      <w:pPr>
        <w:jc w:val="both"/>
        <w:rPr>
          <w:rFonts w:ascii="Times New Roman" w:hAnsi="Times New Roman" w:cs="Times New Roman"/>
          <w:color w:val="000000" w:themeColor="text1"/>
        </w:rPr>
      </w:pPr>
    </w:p>
    <w:p w14:paraId="070DF92F" w14:textId="0B9E5544" w:rsidR="00F54B1F" w:rsidRPr="007258E4" w:rsidRDefault="00F54B1F" w:rsidP="00F17F60">
      <w:pPr>
        <w:jc w:val="both"/>
        <w:rPr>
          <w:rFonts w:ascii="Times New Roman" w:hAnsi="Times New Roman" w:cs="Times New Roman"/>
          <w:color w:val="000000" w:themeColor="text1"/>
        </w:rPr>
      </w:pPr>
      <w:r w:rsidRPr="007258E4">
        <w:rPr>
          <w:rFonts w:ascii="Times New Roman" w:hAnsi="Times New Roman" w:cs="Times New Roman"/>
          <w:color w:val="000000" w:themeColor="text1"/>
        </w:rPr>
        <w:t>On s’intéressera, dans un premier temps informatif, à la fréquence et aux motifs des déplacements en train. On traitera, ensuite, de la satisfaction à l’égard des gares, puis de la satisfaction à l’égard des trains. Au terme de chacune de ces deux parties sur la satisfaction, on trouvera un tableau de synthèse.</w:t>
      </w:r>
    </w:p>
    <w:p w14:paraId="3738547C" w14:textId="77777777" w:rsidR="00F54B1F" w:rsidRPr="007258E4" w:rsidRDefault="00F54B1F" w:rsidP="00F17F60">
      <w:pPr>
        <w:jc w:val="both"/>
        <w:rPr>
          <w:rFonts w:ascii="Times New Roman" w:hAnsi="Times New Roman" w:cs="Times New Roman"/>
          <w:color w:val="000000" w:themeColor="text1"/>
        </w:rPr>
      </w:pPr>
    </w:p>
    <w:p w14:paraId="4FE706B6" w14:textId="6538585B" w:rsidR="000F388A" w:rsidRPr="007258E4" w:rsidRDefault="002A4DAE" w:rsidP="00F17F60">
      <w:pPr>
        <w:jc w:val="both"/>
        <w:rPr>
          <w:rFonts w:ascii="Times New Roman" w:hAnsi="Times New Roman" w:cs="Times New Roman"/>
          <w:b/>
          <w:color w:val="000000" w:themeColor="text1"/>
        </w:rPr>
      </w:pPr>
      <w:r w:rsidRPr="007258E4">
        <w:rPr>
          <w:rFonts w:ascii="Times New Roman" w:hAnsi="Times New Roman" w:cs="Times New Roman"/>
          <w:b/>
          <w:color w:val="000000" w:themeColor="text1"/>
        </w:rPr>
        <w:t>Fréquence et motifs des déplacements en train</w:t>
      </w:r>
    </w:p>
    <w:p w14:paraId="20A36933" w14:textId="3537CC80" w:rsidR="00E935D7" w:rsidRPr="007258E4" w:rsidRDefault="00E935D7" w:rsidP="00F17F60">
      <w:pPr>
        <w:jc w:val="both"/>
        <w:rPr>
          <w:rFonts w:ascii="Times New Roman" w:hAnsi="Times New Roman" w:cs="Times New Roman"/>
          <w:color w:val="000000" w:themeColor="text1"/>
        </w:rPr>
      </w:pPr>
      <w:r w:rsidRPr="007258E4">
        <w:rPr>
          <w:rFonts w:ascii="Times New Roman" w:hAnsi="Times New Roman" w:cs="Times New Roman"/>
          <w:color w:val="000000" w:themeColor="text1"/>
        </w:rPr>
        <w:t xml:space="preserve">Cette première </w:t>
      </w:r>
      <w:r w:rsidR="002A4DAE" w:rsidRPr="007258E4">
        <w:rPr>
          <w:rFonts w:ascii="Times New Roman" w:hAnsi="Times New Roman" w:cs="Times New Roman"/>
          <w:color w:val="000000" w:themeColor="text1"/>
        </w:rPr>
        <w:t>partie</w:t>
      </w:r>
      <w:r w:rsidRPr="007258E4">
        <w:rPr>
          <w:rFonts w:ascii="Times New Roman" w:hAnsi="Times New Roman" w:cs="Times New Roman"/>
          <w:color w:val="000000" w:themeColor="text1"/>
        </w:rPr>
        <w:t xml:space="preserve"> sur la fréquence et les motifs des voyages </w:t>
      </w:r>
      <w:r w:rsidR="002A4DAE" w:rsidRPr="007258E4">
        <w:rPr>
          <w:rFonts w:ascii="Times New Roman" w:hAnsi="Times New Roman" w:cs="Times New Roman"/>
          <w:color w:val="000000" w:themeColor="text1"/>
        </w:rPr>
        <w:t>vise à</w:t>
      </w:r>
      <w:r w:rsidRPr="007258E4">
        <w:rPr>
          <w:rFonts w:ascii="Times New Roman" w:hAnsi="Times New Roman" w:cs="Times New Roman"/>
          <w:color w:val="000000" w:themeColor="text1"/>
        </w:rPr>
        <w:t xml:space="preserve"> situer la France dans le contexte de l’Union, contexte qui, bien entendu, est fonction dans chaque pays de l’offre de transport, des habitudes de mobilité comme des niveaux d’attente et d’exigence à l’égard des différents services en général.</w:t>
      </w:r>
      <w:r w:rsidR="00890280" w:rsidRPr="007258E4">
        <w:rPr>
          <w:rFonts w:ascii="Times New Roman" w:hAnsi="Times New Roman" w:cs="Times New Roman"/>
          <w:color w:val="000000" w:themeColor="text1"/>
        </w:rPr>
        <w:t xml:space="preserve"> </w:t>
      </w:r>
      <w:r w:rsidRPr="007258E4">
        <w:rPr>
          <w:rFonts w:ascii="Times New Roman" w:hAnsi="Times New Roman" w:cs="Times New Roman"/>
          <w:color w:val="000000" w:themeColor="text1"/>
        </w:rPr>
        <w:t>Sur ce premier thème, la comparaison systématique avec 2011 n’est pas possible, car ce ne sont pas exactement les mêmes questions qui ont été posées.</w:t>
      </w:r>
    </w:p>
    <w:p w14:paraId="63E13E12" w14:textId="5F5DB299" w:rsidR="00E935D7" w:rsidRPr="007258E4" w:rsidRDefault="00E935D7" w:rsidP="00F17F60">
      <w:pPr>
        <w:jc w:val="both"/>
        <w:rPr>
          <w:rFonts w:ascii="Times New Roman" w:hAnsi="Times New Roman" w:cs="Times New Roman"/>
          <w:color w:val="000000" w:themeColor="text1"/>
        </w:rPr>
      </w:pPr>
      <w:r w:rsidRPr="007258E4">
        <w:rPr>
          <w:rFonts w:ascii="Times New Roman" w:hAnsi="Times New Roman" w:cs="Times New Roman"/>
          <w:color w:val="000000" w:themeColor="text1"/>
        </w:rPr>
        <w:br/>
        <w:t>C’est en Allemagne que le train (international, national ou régional) est le plus utilisé (80 % des Allemands déclarent l’utiliser au moins une fois dans l’année). La France se trouve très proche de la moyenne européenne avec 23 % des personnes déclarant prendre le train plusieurs fois par an (23 % dans l’UE), 5 % plusieurs fois par mois (6 % dans l’UE), 3 % au moins une fois par semaine (4 % dans l’UE), 4 % presque tous les jours (3 % dans l’UE). Reste que la proportion de Français déclarant ne jamais prendre le train (37 %) est plus élevée qu’en moyenne UE (32 %).</w:t>
      </w:r>
    </w:p>
    <w:p w14:paraId="67101AD9" w14:textId="77777777" w:rsidR="00DD3E94" w:rsidRPr="007258E4" w:rsidRDefault="00DD3E94" w:rsidP="00F17F60">
      <w:pPr>
        <w:jc w:val="both"/>
        <w:rPr>
          <w:rFonts w:ascii="Times New Roman" w:hAnsi="Times New Roman" w:cs="Times New Roman"/>
          <w:color w:val="000000" w:themeColor="text1"/>
        </w:rPr>
      </w:pPr>
    </w:p>
    <w:p w14:paraId="6FE2EDD1" w14:textId="4714C9F8" w:rsidR="00DD3E94" w:rsidRPr="007258E4" w:rsidRDefault="00DD3E94" w:rsidP="00F17F60">
      <w:pPr>
        <w:jc w:val="both"/>
        <w:rPr>
          <w:rFonts w:ascii="Times New Roman" w:hAnsi="Times New Roman" w:cs="Times New Roman"/>
          <w:color w:val="000000" w:themeColor="text1"/>
        </w:rPr>
      </w:pPr>
      <w:r w:rsidRPr="007258E4">
        <w:rPr>
          <w:rFonts w:ascii="Times New Roman" w:hAnsi="Times New Roman" w:cs="Times New Roman"/>
          <w:color w:val="000000" w:themeColor="text1"/>
        </w:rPr>
        <w:t xml:space="preserve">Pour la visualisation graphique, on a fait le choix de mettre en avant la part de la population de chaque </w:t>
      </w:r>
      <w:r w:rsidR="00F54B1F" w:rsidRPr="007258E4">
        <w:rPr>
          <w:rFonts w:ascii="Times New Roman" w:hAnsi="Times New Roman" w:cs="Times New Roman"/>
          <w:color w:val="000000" w:themeColor="text1"/>
        </w:rPr>
        <w:t>pays ne prenant jamais le train, plus percutante visuellement.</w:t>
      </w:r>
    </w:p>
    <w:p w14:paraId="066E5A11" w14:textId="77777777" w:rsidR="00E935D7" w:rsidRPr="007258E4" w:rsidRDefault="00E935D7" w:rsidP="00F17F60">
      <w:pPr>
        <w:jc w:val="both"/>
        <w:rPr>
          <w:rFonts w:ascii="Times New Roman" w:hAnsi="Times New Roman" w:cs="Times New Roman"/>
          <w:color w:val="000000" w:themeColor="text1"/>
        </w:rPr>
      </w:pPr>
      <w:r w:rsidRPr="007258E4">
        <w:rPr>
          <w:rFonts w:ascii="Times New Roman" w:hAnsi="Times New Roman" w:cs="Times New Roman"/>
          <w:color w:val="000000" w:themeColor="text1"/>
        </w:rPr>
        <w:t xml:space="preserve">
</w:t>
      </w:r>
    </w:p>
    <w:p w14:paraId="50B81EA5" w14:textId="4BF6341A" w:rsidR="00E935D7" w:rsidRPr="007258E4" w:rsidRDefault="00E935D7" w:rsidP="00B24266">
      <w:pPr>
        <w:keepNext/>
        <w:jc w:val="both"/>
        <w:rPr>
          <w:rFonts w:ascii="Times New Roman" w:hAnsi="Times New Roman" w:cs="Times New Roman"/>
          <w:color w:val="000000" w:themeColor="text1"/>
        </w:rPr>
      </w:pPr>
      <w:r w:rsidRPr="007258E4">
        <w:rPr>
          <w:rFonts w:ascii="Times New Roman" w:hAnsi="Times New Roman" w:cs="Times New Roman"/>
          <w:b/>
          <w:color w:val="000000" w:themeColor="text1"/>
          <w:sz w:val="22"/>
        </w:rPr>
        <w:t>Part de la population ne prenant jamais un train international, national ou régional (en %)</w:t>
      </w:r>
      <w:r w:rsidRPr="007258E4">
        <w:rPr>
          <w:rFonts w:ascii="Times New Roman" w:hAnsi="Times New Roman" w:cs="Times New Roman"/>
          <w:b/>
          <w:color w:val="000000" w:themeColor="text1"/>
          <w:sz w:val="22"/>
        </w:rPr>
        <w:br/>
      </w:r>
      <w:r w:rsidRPr="007258E4">
        <w:rPr>
          <w:rFonts w:ascii="Times New Roman" w:hAnsi="Times New Roman" w:cs="Times New Roman"/>
          <w:color w:val="000000" w:themeColor="text1"/>
        </w:rPr>
        <w:drawing>
          <wp:inline distT="0" distB="0" distL="0" distR="0" wp14:anchorId="1872122D" wp14:editId="0BFF6A5A">
            <wp:extent cx="5756910" cy="3783060"/>
            <wp:effectExtent l="0" t="0" r="8890" b="190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9E3BB44" w14:textId="3FDA4B47" w:rsidR="00BF617C" w:rsidRPr="007258E4" w:rsidRDefault="00BF617C" w:rsidP="00F17F60">
      <w:pPr>
        <w:jc w:val="both"/>
        <w:rPr>
          <w:rFonts w:ascii="Times New Roman" w:hAnsi="Times New Roman" w:cs="Times New Roman"/>
          <w:color w:val="000000" w:themeColor="text1"/>
        </w:rPr>
      </w:pPr>
    </w:p>
    <w:p w14:paraId="0D98AEBF" w14:textId="77777777" w:rsidR="00606775" w:rsidRPr="007258E4" w:rsidRDefault="00606775" w:rsidP="00F17F60">
      <w:pPr>
        <w:jc w:val="both"/>
        <w:rPr>
          <w:rFonts w:ascii="Times New Roman" w:hAnsi="Times New Roman" w:cs="Times New Roman"/>
          <w:color w:val="000000" w:themeColor="text1"/>
        </w:rPr>
      </w:pPr>
      <w:r w:rsidRPr="007258E4">
        <w:rPr>
          <w:rFonts w:ascii="Times New Roman" w:hAnsi="Times New Roman" w:cs="Times New Roman"/>
          <w:bCs/>
          <w:color w:val="000000" w:themeColor="text1"/>
        </w:rPr>
        <w:t xml:space="preserve">C’est au Pays-Bas que le train de banlieue est le plus utilisé (67 % des habitants déclarent l’utiliser au moins une fois dans l’année). La proportion de Français déclarant ne jamais prendre le train de banlieue (64 %) est bien plus élevée qu’en moyenne européenne (53 %). En revanche, on trouve 4 % de Français déclarant l’utiliser tous les jours. On trouve cette même proportion d’utilisateurs quotidiens en Belgique et au Royaume-Uni. Mais on trouve des proportions plus </w:t>
      </w:r>
      <w:proofErr w:type="gramStart"/>
      <w:r w:rsidRPr="007258E4">
        <w:rPr>
          <w:rFonts w:ascii="Times New Roman" w:hAnsi="Times New Roman" w:cs="Times New Roman"/>
          <w:bCs/>
          <w:color w:val="000000" w:themeColor="text1"/>
        </w:rPr>
        <w:t>élevés</w:t>
      </w:r>
      <w:proofErr w:type="gramEnd"/>
      <w:r w:rsidRPr="007258E4">
        <w:rPr>
          <w:rFonts w:ascii="Times New Roman" w:hAnsi="Times New Roman" w:cs="Times New Roman"/>
          <w:bCs/>
          <w:color w:val="000000" w:themeColor="text1"/>
        </w:rPr>
        <w:t xml:space="preserve"> encore en Suède (5 %), au Danemark (6 %), en Autriche (6%) et en Allemagne (7 %). En réalité la problématique des trains de banlieue est partout la même : une petite population extrêmement consommatrice.</w:t>
      </w:r>
    </w:p>
    <w:p w14:paraId="4B8AC671" w14:textId="77777777" w:rsidR="00BF617C" w:rsidRPr="007258E4" w:rsidRDefault="00BF617C" w:rsidP="00F17F60">
      <w:pPr>
        <w:jc w:val="both"/>
        <w:rPr>
          <w:rFonts w:ascii="Times New Roman" w:hAnsi="Times New Roman" w:cs="Times New Roman"/>
          <w:color w:val="000000" w:themeColor="text1"/>
        </w:rPr>
      </w:pPr>
    </w:p>
    <w:p w14:paraId="609FB4DE" w14:textId="77777777" w:rsidR="00B24266" w:rsidRPr="007258E4" w:rsidRDefault="00606775" w:rsidP="00F54B1F">
      <w:pPr>
        <w:keepNext/>
        <w:jc w:val="both"/>
        <w:rPr>
          <w:rFonts w:ascii="Times New Roman" w:hAnsi="Times New Roman" w:cs="Times New Roman"/>
          <w:b/>
          <w:color w:val="000000" w:themeColor="text1"/>
          <w:sz w:val="22"/>
        </w:rPr>
      </w:pPr>
      <w:r w:rsidRPr="007258E4">
        <w:rPr>
          <w:rFonts w:ascii="Times New Roman" w:hAnsi="Times New Roman" w:cs="Times New Roman"/>
          <w:b/>
          <w:color w:val="000000" w:themeColor="text1"/>
          <w:sz w:val="22"/>
        </w:rPr>
        <w:t>Part de la population ne prenant jamais un train de banlieue (en %)</w:t>
      </w:r>
    </w:p>
    <w:p w14:paraId="22B2A4D1" w14:textId="3F39B03F" w:rsidR="00687392" w:rsidRPr="007258E4" w:rsidRDefault="00606775" w:rsidP="00F54B1F">
      <w:pPr>
        <w:keepNext/>
        <w:jc w:val="both"/>
        <w:rPr>
          <w:rFonts w:ascii="Times New Roman" w:hAnsi="Times New Roman" w:cs="Times New Roman"/>
          <w:color w:val="000000" w:themeColor="text1"/>
        </w:rPr>
      </w:pPr>
      <w:r w:rsidRPr="007258E4">
        <w:rPr>
          <w:rFonts w:ascii="Times New Roman" w:hAnsi="Times New Roman" w:cs="Times New Roman"/>
          <w:color w:val="000000" w:themeColor="text1"/>
        </w:rPr>
        <w:drawing>
          <wp:inline distT="0" distB="0" distL="0" distR="0" wp14:anchorId="7E85E523" wp14:editId="559BA71B">
            <wp:extent cx="5756910" cy="3783060"/>
            <wp:effectExtent l="0" t="0" r="8890" b="190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A699A9A" w14:textId="77777777" w:rsidR="00687392" w:rsidRPr="007258E4" w:rsidRDefault="00687392" w:rsidP="00F17F60">
      <w:pPr>
        <w:jc w:val="both"/>
        <w:rPr>
          <w:rFonts w:ascii="Times New Roman" w:hAnsi="Times New Roman" w:cs="Times New Roman"/>
          <w:color w:val="000000" w:themeColor="text1"/>
        </w:rPr>
      </w:pPr>
    </w:p>
    <w:p w14:paraId="2B5AF267" w14:textId="77777777" w:rsidR="002A4DAE" w:rsidRPr="007258E4" w:rsidRDefault="002A4DAE" w:rsidP="002A4DAE">
      <w:pPr>
        <w:jc w:val="both"/>
        <w:rPr>
          <w:rFonts w:ascii="Times New Roman" w:hAnsi="Times New Roman" w:cs="Times New Roman"/>
          <w:bCs/>
          <w:color w:val="000000" w:themeColor="text1"/>
        </w:rPr>
      </w:pPr>
      <w:r w:rsidRPr="007258E4">
        <w:rPr>
          <w:rFonts w:ascii="Times New Roman" w:hAnsi="Times New Roman" w:cs="Times New Roman"/>
          <w:bCs/>
          <w:color w:val="000000" w:themeColor="text1"/>
        </w:rPr>
        <w:t>Dans l’Union, plus de la moitié (56 %) des voyages par train se font pour des raisons de loisirs. C’était exactement la même proportion en 2011. C’est le cas de 42 % des déplacements en Hongrie, mais de 69 % en Finlande. La France, sur ce plan des déplacements de loisirs (54 % des motifs, 49 % en 2011), se trouve en dessous de la moyenne de l’Union. Les voyageurs français empruntent un peu plus le train pour se rendre au travail, à l’école ou à l’université (23 % des motifs, 15 % en 2011). En revanche, en matière de déplacements pour affaires, la France (5 %, 9 % en 2011) se situe en diminution et toujours sous la moyenne européenne (8 %). La catégorie de motifs « autres » rassemble 23 % des suffrages, ce qui conduit à ne pas alourdir ici le propos.</w:t>
      </w:r>
    </w:p>
    <w:p w14:paraId="5B122518" w14:textId="77777777" w:rsidR="002A4DAE" w:rsidRPr="007258E4" w:rsidRDefault="002A4DAE" w:rsidP="002A4DAE">
      <w:pPr>
        <w:jc w:val="both"/>
        <w:rPr>
          <w:rFonts w:ascii="Times New Roman" w:hAnsi="Times New Roman" w:cs="Times New Roman"/>
          <w:color w:val="000000" w:themeColor="text1"/>
        </w:rPr>
      </w:pPr>
    </w:p>
    <w:p w14:paraId="6788387C" w14:textId="77777777" w:rsidR="00EB24DF" w:rsidRPr="007258E4" w:rsidRDefault="00EB24DF" w:rsidP="00F54B1F">
      <w:pPr>
        <w:keepNext/>
        <w:jc w:val="both"/>
        <w:rPr>
          <w:rFonts w:ascii="Times New Roman" w:hAnsi="Times New Roman" w:cs="Times New Roman"/>
          <w:b/>
          <w:color w:val="000000" w:themeColor="text1"/>
          <w:sz w:val="22"/>
        </w:rPr>
      </w:pPr>
      <w:r w:rsidRPr="007258E4">
        <w:rPr>
          <w:rFonts w:ascii="Times New Roman" w:hAnsi="Times New Roman" w:cs="Times New Roman"/>
          <w:b/>
          <w:color w:val="000000" w:themeColor="text1"/>
          <w:sz w:val="22"/>
        </w:rPr>
        <w:t>Motif le plus fréquent pour voyager en train (en %)</w:t>
      </w:r>
    </w:p>
    <w:p w14:paraId="36642756" w14:textId="23CCE095" w:rsidR="00EB24DF" w:rsidRPr="007258E4" w:rsidRDefault="00EB24DF" w:rsidP="00F54B1F">
      <w:pPr>
        <w:keepNext/>
        <w:jc w:val="both"/>
        <w:rPr>
          <w:rFonts w:ascii="Times New Roman" w:hAnsi="Times New Roman" w:cs="Times New Roman"/>
          <w:color w:val="000000" w:themeColor="text1"/>
        </w:rPr>
      </w:pPr>
      <w:r w:rsidRPr="007258E4">
        <w:rPr>
          <w:rFonts w:ascii="Times New Roman" w:hAnsi="Times New Roman" w:cs="Times New Roman"/>
          <w:color w:val="000000" w:themeColor="text1"/>
        </w:rPr>
        <w:drawing>
          <wp:inline distT="0" distB="0" distL="0" distR="0" wp14:anchorId="7B69C85D" wp14:editId="4005B8ED">
            <wp:extent cx="5756910" cy="3783060"/>
            <wp:effectExtent l="0" t="0" r="8890" b="1905"/>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EED8488" w14:textId="2E22456E" w:rsidR="00644A11" w:rsidRPr="007258E4" w:rsidRDefault="00644A11" w:rsidP="00F17F60">
      <w:pPr>
        <w:jc w:val="both"/>
        <w:rPr>
          <w:rFonts w:ascii="Times New Roman" w:hAnsi="Times New Roman" w:cs="Times New Roman"/>
          <w:b/>
          <w:color w:val="000000" w:themeColor="text1"/>
        </w:rPr>
      </w:pPr>
      <w:r w:rsidRPr="007258E4">
        <w:rPr>
          <w:rFonts w:ascii="Times New Roman" w:hAnsi="Times New Roman" w:cs="Times New Roman"/>
          <w:b/>
          <w:color w:val="000000" w:themeColor="text1"/>
        </w:rPr>
        <w:t>La satisfaction à l’égard des gares</w:t>
      </w:r>
    </w:p>
    <w:p w14:paraId="0BF5AD7B" w14:textId="4132D28B" w:rsidR="00644A11" w:rsidRPr="007258E4" w:rsidRDefault="00644A11" w:rsidP="00F17F60">
      <w:pPr>
        <w:jc w:val="both"/>
        <w:rPr>
          <w:rFonts w:ascii="Times New Roman" w:hAnsi="Times New Roman" w:cs="Times New Roman"/>
          <w:color w:val="000000" w:themeColor="text1"/>
        </w:rPr>
      </w:pPr>
      <w:r w:rsidRPr="007258E4">
        <w:rPr>
          <w:rFonts w:ascii="Times New Roman" w:hAnsi="Times New Roman" w:cs="Times New Roman"/>
          <w:color w:val="000000" w:themeColor="text1"/>
        </w:rPr>
        <w:t>La satisfaction dans les gares est mesurée, en 2013, sur six registres :</w:t>
      </w:r>
      <w:r w:rsidR="007F2A08" w:rsidRPr="007258E4">
        <w:rPr>
          <w:rFonts w:ascii="Times New Roman" w:hAnsi="Times New Roman" w:cs="Times New Roman"/>
          <w:color w:val="000000" w:themeColor="text1"/>
        </w:rPr>
        <w:t xml:space="preserve"> </w:t>
      </w:r>
      <w:r w:rsidR="00335DDF" w:rsidRPr="007258E4">
        <w:rPr>
          <w:rFonts w:ascii="Times New Roman" w:hAnsi="Times New Roman" w:cs="Times New Roman"/>
          <w:color w:val="000000" w:themeColor="text1"/>
        </w:rPr>
        <w:t>l’accessibilité territoriale ;</w:t>
      </w:r>
      <w:r w:rsidR="007F2A08" w:rsidRPr="007258E4">
        <w:rPr>
          <w:rFonts w:ascii="Times New Roman" w:hAnsi="Times New Roman" w:cs="Times New Roman"/>
          <w:color w:val="000000" w:themeColor="text1"/>
        </w:rPr>
        <w:t xml:space="preserve"> </w:t>
      </w:r>
      <w:r w:rsidR="00335DDF" w:rsidRPr="007258E4">
        <w:rPr>
          <w:rFonts w:ascii="Times New Roman" w:hAnsi="Times New Roman" w:cs="Times New Roman"/>
          <w:color w:val="000000" w:themeColor="text1"/>
        </w:rPr>
        <w:t>l’information au sujet des horaires des trains ;</w:t>
      </w:r>
      <w:r w:rsidR="007F2A08" w:rsidRPr="007258E4">
        <w:rPr>
          <w:rFonts w:ascii="Times New Roman" w:hAnsi="Times New Roman" w:cs="Times New Roman"/>
          <w:color w:val="000000" w:themeColor="text1"/>
        </w:rPr>
        <w:t xml:space="preserve"> </w:t>
      </w:r>
      <w:r w:rsidR="00335DDF" w:rsidRPr="007258E4">
        <w:rPr>
          <w:rFonts w:ascii="Times New Roman" w:hAnsi="Times New Roman" w:cs="Times New Roman"/>
          <w:color w:val="000000" w:themeColor="text1"/>
        </w:rPr>
        <w:t>la facilité d’achat des billets ;</w:t>
      </w:r>
      <w:r w:rsidR="007F2A08" w:rsidRPr="007258E4">
        <w:rPr>
          <w:rFonts w:ascii="Times New Roman" w:hAnsi="Times New Roman" w:cs="Times New Roman"/>
          <w:color w:val="000000" w:themeColor="text1"/>
        </w:rPr>
        <w:t xml:space="preserve"> </w:t>
      </w:r>
      <w:r w:rsidR="00335DDF" w:rsidRPr="007258E4">
        <w:rPr>
          <w:rFonts w:ascii="Times New Roman" w:hAnsi="Times New Roman" w:cs="Times New Roman"/>
          <w:color w:val="000000" w:themeColor="text1"/>
        </w:rPr>
        <w:t>les procédures de réclamation ;</w:t>
      </w:r>
      <w:r w:rsidR="007F2A08" w:rsidRPr="007258E4">
        <w:rPr>
          <w:rFonts w:ascii="Times New Roman" w:hAnsi="Times New Roman" w:cs="Times New Roman"/>
          <w:color w:val="000000" w:themeColor="text1"/>
        </w:rPr>
        <w:t xml:space="preserve"> </w:t>
      </w:r>
      <w:r w:rsidR="00335DDF" w:rsidRPr="007258E4">
        <w:rPr>
          <w:rFonts w:ascii="Times New Roman" w:hAnsi="Times New Roman" w:cs="Times New Roman"/>
          <w:color w:val="000000" w:themeColor="text1"/>
        </w:rPr>
        <w:t>la propreté ;</w:t>
      </w:r>
      <w:r w:rsidR="007F2A08" w:rsidRPr="007258E4">
        <w:rPr>
          <w:rFonts w:ascii="Times New Roman" w:hAnsi="Times New Roman" w:cs="Times New Roman"/>
          <w:color w:val="000000" w:themeColor="text1"/>
        </w:rPr>
        <w:t xml:space="preserve"> </w:t>
      </w:r>
      <w:r w:rsidRPr="007258E4">
        <w:rPr>
          <w:rFonts w:ascii="Times New Roman" w:hAnsi="Times New Roman" w:cs="Times New Roman"/>
          <w:color w:val="000000" w:themeColor="text1"/>
        </w:rPr>
        <w:t>l’accessibilité pour les personnes handicapées</w:t>
      </w:r>
      <w:r w:rsidR="007F2A08" w:rsidRPr="007258E4">
        <w:rPr>
          <w:rFonts w:ascii="Times New Roman" w:hAnsi="Times New Roman" w:cs="Times New Roman"/>
          <w:color w:val="000000" w:themeColor="text1"/>
        </w:rPr>
        <w:t xml:space="preserve">. </w:t>
      </w:r>
      <w:r w:rsidRPr="007258E4">
        <w:rPr>
          <w:rFonts w:ascii="Times New Roman" w:hAnsi="Times New Roman" w:cs="Times New Roman"/>
          <w:color w:val="000000" w:themeColor="text1"/>
        </w:rPr>
        <w:t>À la différence de l’enquête de 2011, l’enquête n’a pas porté sur les importantes questions de la sécurité, des connexions, de la qualité des équipements et des parkings. En revanche, une question a été introduite sur l’accessibilité des gares pour les personnes handicapées.</w:t>
      </w:r>
      <w:r w:rsidR="007F2A08" w:rsidRPr="007258E4">
        <w:rPr>
          <w:rFonts w:ascii="Times New Roman" w:hAnsi="Times New Roman" w:cs="Times New Roman"/>
          <w:color w:val="000000" w:themeColor="text1"/>
        </w:rPr>
        <w:t xml:space="preserve"> </w:t>
      </w:r>
      <w:r w:rsidRPr="007258E4">
        <w:rPr>
          <w:rFonts w:ascii="Times New Roman" w:hAnsi="Times New Roman" w:cs="Times New Roman"/>
          <w:color w:val="000000" w:themeColor="text1"/>
        </w:rPr>
        <w:t>Autre nouveauté : un indicateur synthétique de satisfaction à l’égard des gares a été créé.</w:t>
      </w:r>
      <w:r w:rsidR="000B0854" w:rsidRPr="007258E4">
        <w:rPr>
          <w:rFonts w:ascii="Times New Roman" w:hAnsi="Times New Roman" w:cs="Times New Roman"/>
          <w:color w:val="000000" w:themeColor="text1"/>
        </w:rPr>
        <w:t xml:space="preserve"> </w:t>
      </w:r>
      <w:r w:rsidRPr="007258E4">
        <w:rPr>
          <w:rFonts w:ascii="Times New Roman" w:hAnsi="Times New Roman" w:cs="Times New Roman"/>
          <w:color w:val="000000" w:themeColor="text1"/>
        </w:rPr>
        <w:t>Signalons que les graphiques sont réalisés de manière à mettre en avant le classement des niveaux « très satisfaits » qui discriminent souvent le plus les réponses.</w:t>
      </w:r>
    </w:p>
    <w:p w14:paraId="113A0865" w14:textId="77777777" w:rsidR="00644A11" w:rsidRPr="007258E4" w:rsidRDefault="00644A11" w:rsidP="00F17F60">
      <w:pPr>
        <w:jc w:val="both"/>
        <w:rPr>
          <w:rFonts w:ascii="Times New Roman" w:hAnsi="Times New Roman" w:cs="Times New Roman"/>
          <w:color w:val="000000" w:themeColor="text1"/>
        </w:rPr>
      </w:pPr>
    </w:p>
    <w:p w14:paraId="6959B62F" w14:textId="77777777" w:rsidR="00DE4D04" w:rsidRPr="007258E4" w:rsidRDefault="00DE4D04" w:rsidP="00DE4D04">
      <w:pPr>
        <w:jc w:val="both"/>
        <w:rPr>
          <w:rFonts w:ascii="Times New Roman" w:hAnsi="Times New Roman" w:cs="Times New Roman"/>
          <w:color w:val="000000" w:themeColor="text1"/>
        </w:rPr>
      </w:pPr>
      <w:r w:rsidRPr="007258E4">
        <w:rPr>
          <w:rFonts w:ascii="Times New Roman" w:hAnsi="Times New Roman" w:cs="Times New Roman"/>
          <w:bCs/>
          <w:color w:val="000000" w:themeColor="text1"/>
        </w:rPr>
        <w:t>31 % des Français déclarent vivre à moins de 10 minutes d’une gare, ce qui correspond à la moyenne européenne. Sur cette question, qui est affaire de densité en général et de densité ferroviaire en particulier, la France fait tout de même partie des pays où neuf personnes sur dix déclarent vivre à moins de une demi-heure d’une gare. En Europe c’est partout le cas de plus des trois-cinquièmes de la population, mais la France fait bien partie des pays dotés d’un réseau de gare dense. Un tout petit mieux dotés se trouvent les Néerlandais, les Belges, les Danois, les Suédois.</w:t>
      </w:r>
    </w:p>
    <w:p w14:paraId="31AF25FB" w14:textId="77777777" w:rsidR="00DE4D04" w:rsidRPr="007258E4" w:rsidRDefault="00DE4D04" w:rsidP="00F17F60">
      <w:pPr>
        <w:jc w:val="both"/>
        <w:rPr>
          <w:rFonts w:ascii="Times New Roman" w:hAnsi="Times New Roman" w:cs="Times New Roman"/>
          <w:b/>
          <w:bCs/>
          <w:color w:val="000000" w:themeColor="text1"/>
          <w:sz w:val="22"/>
        </w:rPr>
      </w:pPr>
    </w:p>
    <w:p w14:paraId="4C5DA491" w14:textId="132D6184" w:rsidR="00001420" w:rsidRPr="007258E4" w:rsidRDefault="00001420" w:rsidP="00F54B1F">
      <w:pPr>
        <w:keepNext/>
        <w:jc w:val="both"/>
        <w:rPr>
          <w:rFonts w:ascii="Times New Roman" w:hAnsi="Times New Roman" w:cs="Times New Roman"/>
          <w:b/>
          <w:color w:val="000000" w:themeColor="text1"/>
          <w:sz w:val="22"/>
        </w:rPr>
      </w:pPr>
      <w:r w:rsidRPr="007258E4">
        <w:rPr>
          <w:rFonts w:ascii="Times New Roman" w:hAnsi="Times New Roman" w:cs="Times New Roman"/>
          <w:b/>
          <w:bCs/>
          <w:color w:val="000000" w:themeColor="text1"/>
          <w:sz w:val="22"/>
        </w:rPr>
        <w:t>Accessibilité territoriale des gares (en %)</w:t>
      </w:r>
    </w:p>
    <w:p w14:paraId="6902237B" w14:textId="2B8BABDB" w:rsidR="00644A11" w:rsidRPr="007258E4" w:rsidRDefault="00001420" w:rsidP="00F54B1F">
      <w:pPr>
        <w:keepNext/>
        <w:jc w:val="both"/>
        <w:rPr>
          <w:rFonts w:ascii="Times New Roman" w:hAnsi="Times New Roman" w:cs="Times New Roman"/>
          <w:color w:val="000000" w:themeColor="text1"/>
        </w:rPr>
      </w:pPr>
      <w:r w:rsidRPr="007258E4">
        <w:rPr>
          <w:rFonts w:ascii="Times New Roman" w:hAnsi="Times New Roman" w:cs="Times New Roman"/>
          <w:color w:val="000000" w:themeColor="text1"/>
        </w:rPr>
        <w:drawing>
          <wp:inline distT="0" distB="0" distL="0" distR="0" wp14:anchorId="284CC395" wp14:editId="4AA53FB3">
            <wp:extent cx="5756910" cy="3783060"/>
            <wp:effectExtent l="0" t="0" r="8890" b="1905"/>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21809DE" w14:textId="77777777" w:rsidR="00644A11" w:rsidRPr="007258E4" w:rsidRDefault="00644A11" w:rsidP="00F17F60">
      <w:pPr>
        <w:jc w:val="both"/>
        <w:rPr>
          <w:rFonts w:ascii="Times New Roman" w:hAnsi="Times New Roman" w:cs="Times New Roman"/>
          <w:color w:val="000000" w:themeColor="text1"/>
        </w:rPr>
      </w:pPr>
    </w:p>
    <w:p w14:paraId="2C51DD11" w14:textId="77777777" w:rsidR="00DE4D04" w:rsidRPr="007258E4" w:rsidRDefault="00DE4D04" w:rsidP="00DE4D04">
      <w:pPr>
        <w:jc w:val="both"/>
        <w:rPr>
          <w:rFonts w:ascii="Times New Roman" w:hAnsi="Times New Roman" w:cs="Times New Roman"/>
          <w:color w:val="000000" w:themeColor="text1"/>
        </w:rPr>
      </w:pPr>
      <w:r w:rsidRPr="007258E4">
        <w:rPr>
          <w:rFonts w:ascii="Times New Roman" w:hAnsi="Times New Roman" w:cs="Times New Roman"/>
          <w:bCs/>
          <w:color w:val="000000" w:themeColor="text1"/>
        </w:rPr>
        <w:t>Sur le plan de l’information en gare quant aux horaires des trains, la France se trouve, avec la Pologne et l’Italie, parmi les pays qui concentrent la proportion la plus élevée de très mécontents (comme en 2011. Certes le taux total de satisfaction est de 78 % (80 % en 2011), mais les « très satisfaits » ne sont que 17 %, loin derrière les Slovènes, les Danois, les Portugais, les Britanniques, ou encore les Irlandais. Au total, tout de même, la France passe du 18° au 4</w:t>
      </w:r>
      <w:r w:rsidRPr="007258E4">
        <w:rPr>
          <w:rFonts w:ascii="Times New Roman" w:hAnsi="Times New Roman" w:cs="Times New Roman"/>
          <w:bCs/>
          <w:color w:val="000000" w:themeColor="text1"/>
          <w:vertAlign w:val="superscript"/>
        </w:rPr>
        <w:t>e</w:t>
      </w:r>
      <w:r w:rsidRPr="007258E4">
        <w:rPr>
          <w:rFonts w:ascii="Times New Roman" w:hAnsi="Times New Roman" w:cs="Times New Roman"/>
          <w:bCs/>
          <w:color w:val="000000" w:themeColor="text1"/>
        </w:rPr>
        <w:t xml:space="preserve"> rang européen entre 2011 et 2013.</w:t>
      </w:r>
    </w:p>
    <w:p w14:paraId="5B9AA6FF" w14:textId="77777777" w:rsidR="00DE4D04" w:rsidRPr="007258E4" w:rsidRDefault="00DE4D04" w:rsidP="00F17F60">
      <w:pPr>
        <w:jc w:val="both"/>
        <w:rPr>
          <w:rFonts w:ascii="Times New Roman" w:hAnsi="Times New Roman" w:cs="Times New Roman"/>
          <w:b/>
          <w:bCs/>
          <w:color w:val="000000" w:themeColor="text1"/>
        </w:rPr>
      </w:pPr>
    </w:p>
    <w:p w14:paraId="4A4F378B" w14:textId="35CC9954" w:rsidR="00AD6B11" w:rsidRPr="007258E4" w:rsidRDefault="00AD6B11" w:rsidP="00F54B1F">
      <w:pPr>
        <w:keepNext/>
        <w:jc w:val="both"/>
        <w:rPr>
          <w:rFonts w:ascii="Times New Roman" w:hAnsi="Times New Roman" w:cs="Times New Roman"/>
          <w:b/>
          <w:bCs/>
          <w:color w:val="000000" w:themeColor="text1"/>
          <w:sz w:val="22"/>
        </w:rPr>
      </w:pPr>
      <w:r w:rsidRPr="007258E4">
        <w:rPr>
          <w:rFonts w:ascii="Times New Roman" w:hAnsi="Times New Roman" w:cs="Times New Roman"/>
          <w:b/>
          <w:bCs/>
          <w:color w:val="000000" w:themeColor="text1"/>
          <w:sz w:val="22"/>
        </w:rPr>
        <w:t>Satisfaction à l'égard des gares en ce qui concerne</w:t>
      </w:r>
      <w:r w:rsidR="00DE4D04" w:rsidRPr="007258E4">
        <w:rPr>
          <w:rFonts w:ascii="Times New Roman" w:hAnsi="Times New Roman" w:cs="Times New Roman"/>
          <w:b/>
          <w:bCs/>
          <w:color w:val="000000" w:themeColor="text1"/>
          <w:sz w:val="22"/>
        </w:rPr>
        <w:t xml:space="preserve"> </w:t>
      </w:r>
      <w:r w:rsidRPr="007258E4">
        <w:rPr>
          <w:rFonts w:ascii="Times New Roman" w:hAnsi="Times New Roman" w:cs="Times New Roman"/>
          <w:b/>
          <w:bCs/>
          <w:color w:val="000000" w:themeColor="text1"/>
          <w:sz w:val="22"/>
        </w:rPr>
        <w:t>les informations sur les horaires des trains</w:t>
      </w:r>
      <w:r w:rsidR="00DE4D04" w:rsidRPr="007258E4">
        <w:rPr>
          <w:rFonts w:ascii="Times New Roman" w:hAnsi="Times New Roman" w:cs="Times New Roman"/>
          <w:b/>
          <w:bCs/>
          <w:color w:val="000000" w:themeColor="text1"/>
          <w:sz w:val="22"/>
        </w:rPr>
        <w:t xml:space="preserve"> </w:t>
      </w:r>
      <w:r w:rsidRPr="007258E4">
        <w:rPr>
          <w:rFonts w:ascii="Times New Roman" w:hAnsi="Times New Roman" w:cs="Times New Roman"/>
          <w:b/>
          <w:bCs/>
          <w:color w:val="000000" w:themeColor="text1"/>
          <w:sz w:val="22"/>
        </w:rPr>
        <w:t>(en %)</w:t>
      </w:r>
    </w:p>
    <w:p w14:paraId="35AB96A5" w14:textId="2AA5C653" w:rsidR="00AD6B11" w:rsidRPr="007258E4" w:rsidRDefault="00AD6B11" w:rsidP="00F54B1F">
      <w:pPr>
        <w:keepNext/>
        <w:jc w:val="both"/>
        <w:rPr>
          <w:rFonts w:ascii="Times New Roman" w:hAnsi="Times New Roman" w:cs="Times New Roman"/>
          <w:color w:val="000000" w:themeColor="text1"/>
        </w:rPr>
      </w:pPr>
      <w:r w:rsidRPr="007258E4">
        <w:rPr>
          <w:rFonts w:ascii="Times New Roman" w:hAnsi="Times New Roman" w:cs="Times New Roman"/>
          <w:bCs/>
          <w:color w:val="000000" w:themeColor="text1"/>
        </w:rPr>
        <w:drawing>
          <wp:inline distT="0" distB="0" distL="0" distR="0" wp14:anchorId="34B61C0B" wp14:editId="57056BF6">
            <wp:extent cx="5756910" cy="3783060"/>
            <wp:effectExtent l="0" t="0" r="8890" b="1905"/>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F3F3781" w14:textId="77777777" w:rsidR="00644A11" w:rsidRPr="007258E4" w:rsidRDefault="00644A11" w:rsidP="00F17F60">
      <w:pPr>
        <w:jc w:val="both"/>
        <w:rPr>
          <w:rFonts w:ascii="Times New Roman" w:hAnsi="Times New Roman" w:cs="Times New Roman"/>
          <w:color w:val="000000" w:themeColor="text1"/>
        </w:rPr>
      </w:pPr>
    </w:p>
    <w:p w14:paraId="7A10F4B7" w14:textId="77777777" w:rsidR="000B0854" w:rsidRPr="007258E4" w:rsidRDefault="000B0854" w:rsidP="000B0854">
      <w:pPr>
        <w:jc w:val="both"/>
        <w:rPr>
          <w:rFonts w:ascii="Times New Roman" w:hAnsi="Times New Roman" w:cs="Times New Roman"/>
          <w:color w:val="000000" w:themeColor="text1"/>
        </w:rPr>
      </w:pPr>
      <w:r w:rsidRPr="007258E4">
        <w:rPr>
          <w:rFonts w:ascii="Times New Roman" w:hAnsi="Times New Roman" w:cs="Times New Roman"/>
          <w:bCs/>
          <w:color w:val="000000" w:themeColor="text1"/>
        </w:rPr>
        <w:t>Il apparaissait déjà, dans l’enquête 2011, que l’achat de titres de transport n’était nulle part, dans les gares, un vrai problème. La France se situait, en la matière, dans la moyenne européenne. Elle a semble-t-il bien progressé car le taux global de satisfaction 77 % la place au 3</w:t>
      </w:r>
      <w:r w:rsidRPr="007258E4">
        <w:rPr>
          <w:rFonts w:ascii="Times New Roman" w:hAnsi="Times New Roman" w:cs="Times New Roman"/>
          <w:bCs/>
          <w:color w:val="000000" w:themeColor="text1"/>
          <w:vertAlign w:val="superscript"/>
        </w:rPr>
        <w:t>ème</w:t>
      </w:r>
      <w:r w:rsidRPr="007258E4">
        <w:rPr>
          <w:rFonts w:ascii="Times New Roman" w:hAnsi="Times New Roman" w:cs="Times New Roman"/>
          <w:bCs/>
          <w:color w:val="000000" w:themeColor="text1"/>
        </w:rPr>
        <w:t xml:space="preserve"> rang maintenant, derrière la Belgique et la Grèce (ex-aequo avec le Royaume-Uni). Mais le sujet n’est pas d’une importance capitale dans la mesure où les achats, pour les voyages, passent de plus en plus par l’Internet.</w:t>
      </w:r>
    </w:p>
    <w:p w14:paraId="77890F1B" w14:textId="77777777" w:rsidR="000B0854" w:rsidRPr="007258E4" w:rsidRDefault="000B0854" w:rsidP="00F17F60">
      <w:pPr>
        <w:jc w:val="both"/>
        <w:rPr>
          <w:rFonts w:ascii="Times New Roman" w:hAnsi="Times New Roman" w:cs="Times New Roman"/>
          <w:bCs/>
          <w:color w:val="000000" w:themeColor="text1"/>
        </w:rPr>
      </w:pPr>
    </w:p>
    <w:p w14:paraId="18C7A39B" w14:textId="709B2B1F" w:rsidR="00AD6B11" w:rsidRPr="007258E4" w:rsidRDefault="00AD6B11" w:rsidP="00F54B1F">
      <w:pPr>
        <w:keepNext/>
        <w:jc w:val="both"/>
        <w:rPr>
          <w:rFonts w:ascii="Times New Roman" w:hAnsi="Times New Roman" w:cs="Times New Roman"/>
          <w:b/>
          <w:bCs/>
          <w:color w:val="000000" w:themeColor="text1"/>
          <w:sz w:val="22"/>
        </w:rPr>
      </w:pPr>
      <w:r w:rsidRPr="007258E4">
        <w:rPr>
          <w:rFonts w:ascii="Times New Roman" w:hAnsi="Times New Roman" w:cs="Times New Roman"/>
          <w:b/>
          <w:bCs/>
          <w:color w:val="000000" w:themeColor="text1"/>
          <w:sz w:val="22"/>
        </w:rPr>
        <w:t>Satisfaction à l'égar</w:t>
      </w:r>
      <w:r w:rsidR="00F54B1F" w:rsidRPr="007258E4">
        <w:rPr>
          <w:rFonts w:ascii="Times New Roman" w:hAnsi="Times New Roman" w:cs="Times New Roman"/>
          <w:b/>
          <w:bCs/>
          <w:color w:val="000000" w:themeColor="text1"/>
          <w:sz w:val="22"/>
        </w:rPr>
        <w:t xml:space="preserve">d des gares en ce qui concerne </w:t>
      </w:r>
      <w:r w:rsidRPr="007258E4">
        <w:rPr>
          <w:rFonts w:ascii="Times New Roman" w:hAnsi="Times New Roman" w:cs="Times New Roman"/>
          <w:b/>
          <w:bCs/>
          <w:color w:val="000000" w:themeColor="text1"/>
          <w:sz w:val="22"/>
        </w:rPr>
        <w:t>la facilité d’achat des billets (en %)</w:t>
      </w:r>
    </w:p>
    <w:p w14:paraId="1682E6EF" w14:textId="3BEC3872" w:rsidR="00AD6B11" w:rsidRPr="007258E4" w:rsidRDefault="00AD6B11" w:rsidP="00F54B1F">
      <w:pPr>
        <w:keepNext/>
        <w:jc w:val="both"/>
        <w:rPr>
          <w:rFonts w:ascii="Times New Roman" w:hAnsi="Times New Roman" w:cs="Times New Roman"/>
          <w:color w:val="000000" w:themeColor="text1"/>
        </w:rPr>
      </w:pPr>
      <w:r w:rsidRPr="007258E4">
        <w:rPr>
          <w:rFonts w:ascii="Times New Roman" w:hAnsi="Times New Roman" w:cs="Times New Roman"/>
          <w:bCs/>
          <w:color w:val="000000" w:themeColor="text1"/>
        </w:rPr>
        <w:drawing>
          <wp:inline distT="0" distB="0" distL="0" distR="0" wp14:anchorId="703E3318" wp14:editId="3393E964">
            <wp:extent cx="5756910" cy="3783060"/>
            <wp:effectExtent l="0" t="0" r="8890" b="1905"/>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FEB61E" w14:textId="77777777" w:rsidR="000B0854" w:rsidRPr="007258E4" w:rsidRDefault="000B0854" w:rsidP="000B0854">
      <w:pPr>
        <w:jc w:val="both"/>
        <w:rPr>
          <w:rFonts w:ascii="Times New Roman" w:hAnsi="Times New Roman" w:cs="Times New Roman"/>
          <w:color w:val="000000" w:themeColor="text1"/>
        </w:rPr>
      </w:pPr>
      <w:r w:rsidRPr="007258E4">
        <w:rPr>
          <w:rFonts w:ascii="Times New Roman" w:hAnsi="Times New Roman" w:cs="Times New Roman"/>
          <w:bCs/>
          <w:color w:val="000000" w:themeColor="text1"/>
        </w:rPr>
        <w:t xml:space="preserve">Le sujet des réclamations intéresse peu les répondants. C’est toutefois en France que l’on trouve la plus grande proportion de répondants parmi les populations interrogées (plus de 70 %). À égalité avec le Royaume-Uni la France présente le plus haut taux de satisfaits (55 %) des services de réclamation. Comme sur la plupart des autres sujets ferroviaires Estonie, Bulgarie et Pologne, mais aussi, en l’espèce République Tchèque, sont les pays où taux de réponse et taux de satisfaction sont respectivement les plus faibles et les plus hauts. Au fond, les habitants y prennent relativement  peu le train, et en sont largement insatisfaits. </w:t>
      </w:r>
    </w:p>
    <w:p w14:paraId="6EA1BD07" w14:textId="77777777" w:rsidR="00AD6B11" w:rsidRPr="007258E4" w:rsidRDefault="00AD6B11" w:rsidP="00F17F60">
      <w:pPr>
        <w:jc w:val="both"/>
        <w:rPr>
          <w:rFonts w:ascii="Times New Roman" w:hAnsi="Times New Roman" w:cs="Times New Roman"/>
          <w:color w:val="000000" w:themeColor="text1"/>
        </w:rPr>
      </w:pPr>
    </w:p>
    <w:p w14:paraId="330DAE3B" w14:textId="016B7C12" w:rsidR="000B6B03" w:rsidRPr="007258E4" w:rsidRDefault="000B6B03" w:rsidP="00F54B1F">
      <w:pPr>
        <w:keepNext/>
        <w:jc w:val="both"/>
        <w:rPr>
          <w:rFonts w:ascii="Times New Roman" w:hAnsi="Times New Roman" w:cs="Times New Roman"/>
          <w:b/>
          <w:bCs/>
          <w:color w:val="000000" w:themeColor="text1"/>
          <w:sz w:val="22"/>
        </w:rPr>
      </w:pPr>
      <w:r w:rsidRPr="007258E4">
        <w:rPr>
          <w:rFonts w:ascii="Times New Roman" w:hAnsi="Times New Roman" w:cs="Times New Roman"/>
          <w:b/>
          <w:bCs/>
          <w:color w:val="000000" w:themeColor="text1"/>
          <w:sz w:val="22"/>
        </w:rPr>
        <w:t>Satisfaction à l'égar</w:t>
      </w:r>
      <w:r w:rsidR="00F54B1F" w:rsidRPr="007258E4">
        <w:rPr>
          <w:rFonts w:ascii="Times New Roman" w:hAnsi="Times New Roman" w:cs="Times New Roman"/>
          <w:b/>
          <w:bCs/>
          <w:color w:val="000000" w:themeColor="text1"/>
          <w:sz w:val="22"/>
        </w:rPr>
        <w:t xml:space="preserve">d des gares en ce qui concerne </w:t>
      </w:r>
      <w:r w:rsidRPr="007258E4">
        <w:rPr>
          <w:rFonts w:ascii="Times New Roman" w:hAnsi="Times New Roman" w:cs="Times New Roman"/>
          <w:b/>
          <w:bCs/>
          <w:color w:val="000000" w:themeColor="text1"/>
          <w:sz w:val="22"/>
        </w:rPr>
        <w:t>les réclamations (en %)</w:t>
      </w:r>
    </w:p>
    <w:p w14:paraId="222A8016" w14:textId="68564866" w:rsidR="000B6B03" w:rsidRPr="007258E4" w:rsidRDefault="000B6B03" w:rsidP="00F54B1F">
      <w:pPr>
        <w:keepNext/>
        <w:jc w:val="both"/>
        <w:rPr>
          <w:rFonts w:ascii="Times New Roman" w:hAnsi="Times New Roman" w:cs="Times New Roman"/>
          <w:color w:val="000000" w:themeColor="text1"/>
        </w:rPr>
      </w:pPr>
      <w:r w:rsidRPr="007258E4">
        <w:rPr>
          <w:rFonts w:ascii="Times New Roman" w:hAnsi="Times New Roman" w:cs="Times New Roman"/>
          <w:bCs/>
          <w:color w:val="000000" w:themeColor="text1"/>
        </w:rPr>
        <w:drawing>
          <wp:inline distT="0" distB="0" distL="0" distR="0" wp14:anchorId="51246E8F" wp14:editId="60157E1C">
            <wp:extent cx="5756910" cy="3783060"/>
            <wp:effectExtent l="0" t="0" r="8890" b="1905"/>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2E4E23" w14:textId="77777777" w:rsidR="000B6B03" w:rsidRPr="007258E4" w:rsidRDefault="000B6B03" w:rsidP="00F17F60">
      <w:pPr>
        <w:jc w:val="both"/>
        <w:rPr>
          <w:rFonts w:ascii="Times New Roman" w:hAnsi="Times New Roman" w:cs="Times New Roman"/>
          <w:color w:val="000000" w:themeColor="text1"/>
        </w:rPr>
      </w:pPr>
    </w:p>
    <w:p w14:paraId="53687346" w14:textId="77777777" w:rsidR="000B0854" w:rsidRPr="007258E4" w:rsidRDefault="000B0854" w:rsidP="000B0854">
      <w:pPr>
        <w:jc w:val="both"/>
        <w:rPr>
          <w:rFonts w:ascii="Times New Roman" w:hAnsi="Times New Roman" w:cs="Times New Roman"/>
          <w:bCs/>
          <w:color w:val="000000" w:themeColor="text1"/>
        </w:rPr>
      </w:pPr>
      <w:r w:rsidRPr="007258E4">
        <w:rPr>
          <w:rFonts w:ascii="Times New Roman" w:hAnsi="Times New Roman" w:cs="Times New Roman"/>
          <w:bCs/>
          <w:color w:val="000000" w:themeColor="text1"/>
        </w:rPr>
        <w:t xml:space="preserve">Les voyageurs en France sont globalement satisfaits de la propreté et de l’entretien des gares. Ils sont 72 % à se dire satisfaits (70 % en 2011). La proportion de « très satisfaits » (9 </w:t>
      </w:r>
      <w:proofErr w:type="gramStart"/>
      <w:r w:rsidRPr="007258E4">
        <w:rPr>
          <w:rFonts w:ascii="Times New Roman" w:hAnsi="Times New Roman" w:cs="Times New Roman"/>
          <w:bCs/>
          <w:color w:val="000000" w:themeColor="text1"/>
        </w:rPr>
        <w:t>% )</w:t>
      </w:r>
      <w:proofErr w:type="gramEnd"/>
      <w:r w:rsidRPr="007258E4">
        <w:rPr>
          <w:rFonts w:ascii="Times New Roman" w:hAnsi="Times New Roman" w:cs="Times New Roman"/>
          <w:bCs/>
          <w:color w:val="000000" w:themeColor="text1"/>
        </w:rPr>
        <w:t xml:space="preserve"> positionne, comme sur tous les sujets ferroviaires, moins favorablement la France. La proportion totale des satisfaits classe la France derrière les Pays-Bas, la Finlande, l’Irlande, le Royaume-Uni, le Luxembourg, l’Autriche (80 % de satisfaits), mais significativement loin de la moyenne européenne (56 %) et de nombreux pays comme l’Allemagne (52 %), la Pologne (39 %), l’Italie (35 %) ou la Roumanie (29 %). </w:t>
      </w:r>
    </w:p>
    <w:p w14:paraId="691B2097" w14:textId="77777777" w:rsidR="000B0854" w:rsidRPr="007258E4" w:rsidRDefault="000B0854" w:rsidP="00F17F60">
      <w:pPr>
        <w:jc w:val="both"/>
        <w:rPr>
          <w:rFonts w:ascii="Times New Roman" w:hAnsi="Times New Roman" w:cs="Times New Roman"/>
          <w:bCs/>
          <w:color w:val="000000" w:themeColor="text1"/>
        </w:rPr>
      </w:pPr>
    </w:p>
    <w:p w14:paraId="062F72B2" w14:textId="793A775E" w:rsidR="000B6B03" w:rsidRPr="007258E4" w:rsidRDefault="000B6B03" w:rsidP="00F54B1F">
      <w:pPr>
        <w:keepNext/>
        <w:jc w:val="both"/>
        <w:rPr>
          <w:rFonts w:ascii="Times New Roman" w:hAnsi="Times New Roman" w:cs="Times New Roman"/>
          <w:b/>
          <w:bCs/>
          <w:color w:val="000000" w:themeColor="text1"/>
          <w:sz w:val="22"/>
        </w:rPr>
      </w:pPr>
      <w:r w:rsidRPr="007258E4">
        <w:rPr>
          <w:rFonts w:ascii="Times New Roman" w:hAnsi="Times New Roman" w:cs="Times New Roman"/>
          <w:b/>
          <w:bCs/>
          <w:color w:val="000000" w:themeColor="text1"/>
          <w:sz w:val="22"/>
        </w:rPr>
        <w:t>Satisfaction à l'égar</w:t>
      </w:r>
      <w:r w:rsidR="00F54B1F" w:rsidRPr="007258E4">
        <w:rPr>
          <w:rFonts w:ascii="Times New Roman" w:hAnsi="Times New Roman" w:cs="Times New Roman"/>
          <w:b/>
          <w:bCs/>
          <w:color w:val="000000" w:themeColor="text1"/>
          <w:sz w:val="22"/>
        </w:rPr>
        <w:t xml:space="preserve">d des gares en ce qui concerne </w:t>
      </w:r>
      <w:r w:rsidRPr="007258E4">
        <w:rPr>
          <w:rFonts w:ascii="Times New Roman" w:hAnsi="Times New Roman" w:cs="Times New Roman"/>
          <w:b/>
          <w:bCs/>
          <w:color w:val="000000" w:themeColor="text1"/>
          <w:sz w:val="22"/>
        </w:rPr>
        <w:t>la propreté et l’entretien (en %)</w:t>
      </w:r>
    </w:p>
    <w:p w14:paraId="01ADA521" w14:textId="1157EFC0" w:rsidR="000B6B03" w:rsidRPr="007258E4" w:rsidRDefault="000B6B03" w:rsidP="00F54B1F">
      <w:pPr>
        <w:keepNext/>
        <w:jc w:val="both"/>
        <w:rPr>
          <w:rFonts w:ascii="Times New Roman" w:hAnsi="Times New Roman" w:cs="Times New Roman"/>
          <w:bCs/>
          <w:color w:val="000000" w:themeColor="text1"/>
        </w:rPr>
      </w:pPr>
      <w:r w:rsidRPr="007258E4">
        <w:rPr>
          <w:rFonts w:ascii="Times New Roman" w:hAnsi="Times New Roman" w:cs="Times New Roman"/>
          <w:bCs/>
          <w:color w:val="000000" w:themeColor="text1"/>
        </w:rPr>
        <w:drawing>
          <wp:inline distT="0" distB="0" distL="0" distR="0" wp14:anchorId="759547BA" wp14:editId="50BE2ABA">
            <wp:extent cx="5756910" cy="3783060"/>
            <wp:effectExtent l="0" t="0" r="8890" b="1905"/>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93FDC79" w14:textId="77777777" w:rsidR="000B0854" w:rsidRPr="007258E4" w:rsidRDefault="000B0854" w:rsidP="000B0854">
      <w:pPr>
        <w:jc w:val="both"/>
        <w:rPr>
          <w:rFonts w:ascii="Times New Roman" w:hAnsi="Times New Roman" w:cs="Times New Roman"/>
          <w:bCs/>
          <w:color w:val="000000" w:themeColor="text1"/>
        </w:rPr>
      </w:pPr>
      <w:r w:rsidRPr="007258E4">
        <w:rPr>
          <w:rFonts w:ascii="Times New Roman" w:hAnsi="Times New Roman" w:cs="Times New Roman"/>
          <w:bCs/>
          <w:color w:val="000000" w:themeColor="text1"/>
        </w:rPr>
        <w:t>65 % des habitants au Royaume-Uni s’estiment satisfaits de l’accessibilité des gares pour les personnes handicapées (63 % en Irlande, 63 % aussi en Finlande). À l’autre extrême, on trouve encore la Croatie, la Bulgarie et l’Estonie. La France, avec un taux de 57 % se place au 9</w:t>
      </w:r>
      <w:r w:rsidRPr="007258E4">
        <w:rPr>
          <w:rFonts w:ascii="Times New Roman" w:hAnsi="Times New Roman" w:cs="Times New Roman"/>
          <w:bCs/>
          <w:color w:val="000000" w:themeColor="text1"/>
          <w:vertAlign w:val="superscript"/>
        </w:rPr>
        <w:t>ème</w:t>
      </w:r>
      <w:r w:rsidRPr="007258E4">
        <w:rPr>
          <w:rFonts w:ascii="Times New Roman" w:hAnsi="Times New Roman" w:cs="Times New Roman"/>
          <w:bCs/>
          <w:color w:val="000000" w:themeColor="text1"/>
        </w:rPr>
        <w:t xml:space="preserve"> rang européen. </w:t>
      </w:r>
    </w:p>
    <w:p w14:paraId="6800AF8A" w14:textId="77777777" w:rsidR="000B6B03" w:rsidRPr="007258E4" w:rsidRDefault="000B6B03" w:rsidP="00F17F60">
      <w:pPr>
        <w:jc w:val="both"/>
        <w:rPr>
          <w:rFonts w:ascii="Times New Roman" w:hAnsi="Times New Roman" w:cs="Times New Roman"/>
          <w:bCs/>
          <w:color w:val="000000" w:themeColor="text1"/>
        </w:rPr>
      </w:pPr>
    </w:p>
    <w:p w14:paraId="30FA2676" w14:textId="27C0FB09" w:rsidR="000B6B03" w:rsidRPr="007258E4" w:rsidRDefault="000B6B03" w:rsidP="00F54B1F">
      <w:pPr>
        <w:keepNext/>
        <w:jc w:val="both"/>
        <w:rPr>
          <w:rFonts w:ascii="Times New Roman" w:hAnsi="Times New Roman" w:cs="Times New Roman"/>
          <w:b/>
          <w:bCs/>
          <w:color w:val="000000" w:themeColor="text1"/>
          <w:sz w:val="22"/>
        </w:rPr>
      </w:pPr>
      <w:r w:rsidRPr="007258E4">
        <w:rPr>
          <w:rFonts w:ascii="Times New Roman" w:hAnsi="Times New Roman" w:cs="Times New Roman"/>
          <w:b/>
          <w:bCs/>
          <w:color w:val="000000" w:themeColor="text1"/>
          <w:sz w:val="22"/>
        </w:rPr>
        <w:t>Satisfaction à l'égar</w:t>
      </w:r>
      <w:r w:rsidR="00F54B1F" w:rsidRPr="007258E4">
        <w:rPr>
          <w:rFonts w:ascii="Times New Roman" w:hAnsi="Times New Roman" w:cs="Times New Roman"/>
          <w:b/>
          <w:bCs/>
          <w:color w:val="000000" w:themeColor="text1"/>
          <w:sz w:val="22"/>
        </w:rPr>
        <w:t xml:space="preserve">d des gares en ce qui concerne </w:t>
      </w:r>
      <w:r w:rsidRPr="007258E4">
        <w:rPr>
          <w:rFonts w:ascii="Times New Roman" w:hAnsi="Times New Roman" w:cs="Times New Roman"/>
          <w:b/>
          <w:bCs/>
          <w:color w:val="000000" w:themeColor="text1"/>
          <w:sz w:val="22"/>
        </w:rPr>
        <w:t>l’accessibilité pour les personnes handicapées (en %)</w:t>
      </w:r>
    </w:p>
    <w:p w14:paraId="5565006C" w14:textId="1555FF47" w:rsidR="000B6B03" w:rsidRPr="007258E4" w:rsidRDefault="000B6B03" w:rsidP="00F54B1F">
      <w:pPr>
        <w:keepNext/>
        <w:jc w:val="both"/>
        <w:rPr>
          <w:rFonts w:ascii="Times New Roman" w:hAnsi="Times New Roman" w:cs="Times New Roman"/>
          <w:bCs/>
          <w:color w:val="000000" w:themeColor="text1"/>
        </w:rPr>
      </w:pPr>
      <w:r w:rsidRPr="007258E4">
        <w:rPr>
          <w:rFonts w:ascii="Times New Roman" w:hAnsi="Times New Roman" w:cs="Times New Roman"/>
          <w:bCs/>
          <w:color w:val="000000" w:themeColor="text1"/>
        </w:rPr>
        <w:drawing>
          <wp:inline distT="0" distB="0" distL="0" distR="0" wp14:anchorId="1F2F04E9" wp14:editId="2A7A14A9">
            <wp:extent cx="5756910" cy="3783060"/>
            <wp:effectExtent l="0" t="0" r="8890" b="190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56D51C6" w14:textId="77777777" w:rsidR="000B0854" w:rsidRPr="007258E4" w:rsidRDefault="000B0854" w:rsidP="00F17F60">
      <w:pPr>
        <w:jc w:val="both"/>
        <w:rPr>
          <w:rFonts w:ascii="Times New Roman" w:hAnsi="Times New Roman" w:cs="Times New Roman"/>
          <w:bCs/>
          <w:color w:val="000000" w:themeColor="text1"/>
        </w:rPr>
      </w:pPr>
    </w:p>
    <w:p w14:paraId="3DDFD98D" w14:textId="75BCB071" w:rsidR="000B0854" w:rsidRPr="007258E4" w:rsidRDefault="000B0854" w:rsidP="000B0854">
      <w:pPr>
        <w:jc w:val="both"/>
        <w:rPr>
          <w:rFonts w:ascii="Times New Roman" w:hAnsi="Times New Roman" w:cs="Times New Roman"/>
          <w:bCs/>
          <w:color w:val="000000" w:themeColor="text1"/>
        </w:rPr>
      </w:pPr>
      <w:r w:rsidRPr="007258E4">
        <w:rPr>
          <w:rFonts w:ascii="Times New Roman" w:hAnsi="Times New Roman" w:cs="Times New Roman"/>
          <w:bCs/>
          <w:color w:val="000000" w:themeColor="text1"/>
        </w:rPr>
        <w:t>Les Français aiment leur gare. Avec un indice global de satisfaction de 68 %, la France se classe au quatrième rang européen, derrière le Royaume-Uni (73 %), l’Irlande (71 %), le Luxembourg (70 %). C’est en France que l’on trouve la plus petite proportion de répondants aboutissant à une faible satisfaction (14 %). L’indice synthétique de satisfaction est « élevé » si les répondants sont satisfaits de quatre éléments de satisfaction, « bon » pour trois éléments, « moyen » pour deux, et « faible » pour un ou zéro.</w:t>
      </w:r>
    </w:p>
    <w:p w14:paraId="0E292989" w14:textId="77777777" w:rsidR="000B6B03" w:rsidRPr="007258E4" w:rsidRDefault="000B6B03" w:rsidP="00F17F60">
      <w:pPr>
        <w:jc w:val="both"/>
        <w:rPr>
          <w:rFonts w:ascii="Times New Roman" w:hAnsi="Times New Roman" w:cs="Times New Roman"/>
          <w:bCs/>
          <w:color w:val="000000" w:themeColor="text1"/>
        </w:rPr>
      </w:pPr>
    </w:p>
    <w:p w14:paraId="470B51D4" w14:textId="5762997A" w:rsidR="000B6B03" w:rsidRPr="007258E4" w:rsidRDefault="000B6B03" w:rsidP="00F54B1F">
      <w:pPr>
        <w:keepNext/>
        <w:jc w:val="both"/>
        <w:rPr>
          <w:rFonts w:ascii="Times New Roman" w:hAnsi="Times New Roman" w:cs="Times New Roman"/>
          <w:b/>
          <w:bCs/>
          <w:color w:val="000000" w:themeColor="text1"/>
          <w:sz w:val="22"/>
        </w:rPr>
      </w:pPr>
      <w:r w:rsidRPr="007258E4">
        <w:rPr>
          <w:rFonts w:ascii="Times New Roman" w:hAnsi="Times New Roman" w:cs="Times New Roman"/>
          <w:b/>
          <w:bCs/>
          <w:color w:val="000000" w:themeColor="text1"/>
          <w:sz w:val="22"/>
        </w:rPr>
        <w:t>Indice synthétique de satisfaction à l’égard des gares (en %)</w:t>
      </w:r>
    </w:p>
    <w:p w14:paraId="28A5EBA9" w14:textId="549BA76C" w:rsidR="000B6B03" w:rsidRPr="007258E4" w:rsidRDefault="000B6B03" w:rsidP="00F54B1F">
      <w:pPr>
        <w:keepNext/>
        <w:jc w:val="both"/>
        <w:rPr>
          <w:rFonts w:ascii="Times New Roman" w:hAnsi="Times New Roman" w:cs="Times New Roman"/>
          <w:bCs/>
          <w:color w:val="000000" w:themeColor="text1"/>
        </w:rPr>
      </w:pPr>
      <w:r w:rsidRPr="007258E4">
        <w:rPr>
          <w:rFonts w:ascii="Times New Roman" w:hAnsi="Times New Roman" w:cs="Times New Roman"/>
          <w:bCs/>
          <w:color w:val="000000" w:themeColor="text1"/>
        </w:rPr>
        <w:drawing>
          <wp:inline distT="0" distB="0" distL="0" distR="0" wp14:anchorId="7272C4DB" wp14:editId="62C9E506">
            <wp:extent cx="5756910" cy="3783060"/>
            <wp:effectExtent l="0" t="0" r="8890" b="1905"/>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7D6DD6A" w14:textId="77777777" w:rsidR="000B6B03" w:rsidRPr="007258E4" w:rsidRDefault="000B6B03" w:rsidP="00F17F60">
      <w:pPr>
        <w:jc w:val="both"/>
        <w:rPr>
          <w:rFonts w:ascii="Times New Roman" w:hAnsi="Times New Roman" w:cs="Times New Roman"/>
          <w:bCs/>
          <w:color w:val="000000" w:themeColor="text1"/>
        </w:rPr>
      </w:pPr>
    </w:p>
    <w:p w14:paraId="55C40260" w14:textId="4EE045CE" w:rsidR="000B0854" w:rsidRPr="007258E4" w:rsidRDefault="000B0854" w:rsidP="000B0854">
      <w:pPr>
        <w:jc w:val="both"/>
        <w:rPr>
          <w:rFonts w:ascii="Times New Roman" w:hAnsi="Times New Roman" w:cs="Times New Roman"/>
          <w:b/>
          <w:color w:val="000000" w:themeColor="text1"/>
          <w:sz w:val="22"/>
        </w:rPr>
      </w:pPr>
      <w:r w:rsidRPr="007258E4">
        <w:rPr>
          <w:rFonts w:ascii="Times New Roman" w:hAnsi="Times New Roman" w:cs="Times New Roman"/>
          <w:b/>
          <w:bCs/>
          <w:color w:val="000000" w:themeColor="text1"/>
          <w:sz w:val="22"/>
        </w:rPr>
        <w:t>Classements de synthèse</w:t>
      </w:r>
      <w:r w:rsidR="0085355C" w:rsidRPr="007258E4">
        <w:rPr>
          <w:rFonts w:ascii="Times New Roman" w:hAnsi="Times New Roman" w:cs="Times New Roman"/>
          <w:b/>
          <w:bCs/>
          <w:color w:val="000000" w:themeColor="text1"/>
          <w:sz w:val="22"/>
        </w:rPr>
        <w:t xml:space="preserve"> en ce qui concerne les gares</w:t>
      </w:r>
    </w:p>
    <w:tbl>
      <w:tblPr>
        <w:tblStyle w:val="Grille"/>
        <w:tblW w:w="51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191"/>
        <w:gridCol w:w="1323"/>
        <w:gridCol w:w="2472"/>
        <w:gridCol w:w="2061"/>
        <w:gridCol w:w="1496"/>
      </w:tblGrid>
      <w:tr w:rsidR="000B0854" w:rsidRPr="007258E4" w14:paraId="3C7CCA4B" w14:textId="77777777" w:rsidTr="000B0854">
        <w:tc>
          <w:tcPr>
            <w:tcW w:w="1148" w:type="pct"/>
            <w:tcBorders>
              <w:top w:val="single" w:sz="4" w:space="0" w:color="auto"/>
              <w:bottom w:val="single" w:sz="4" w:space="0" w:color="auto"/>
            </w:tcBorders>
            <w:hideMark/>
          </w:tcPr>
          <w:p w14:paraId="5B9BFB95" w14:textId="77777777" w:rsidR="000B0854" w:rsidRPr="007258E4" w:rsidRDefault="000B0854" w:rsidP="000B0854">
            <w:pPr>
              <w:rPr>
                <w:rFonts w:ascii="Times New Roman" w:eastAsia="Times New Roman" w:hAnsi="Times New Roman" w:cs="Times New Roman"/>
                <w:b/>
                <w:color w:val="000000" w:themeColor="text1"/>
                <w:sz w:val="20"/>
                <w:szCs w:val="20"/>
                <w:lang w:eastAsia="fr-FR"/>
              </w:rPr>
            </w:pPr>
          </w:p>
        </w:tc>
        <w:tc>
          <w:tcPr>
            <w:tcW w:w="693" w:type="pct"/>
            <w:tcBorders>
              <w:top w:val="single" w:sz="4" w:space="0" w:color="auto"/>
              <w:bottom w:val="single" w:sz="4" w:space="0" w:color="auto"/>
            </w:tcBorders>
            <w:hideMark/>
          </w:tcPr>
          <w:p w14:paraId="0A0F73C0" w14:textId="77777777" w:rsidR="000B0854" w:rsidRPr="007258E4" w:rsidRDefault="000B0854" w:rsidP="000B0854">
            <w:pPr>
              <w:jc w:val="center"/>
              <w:rPr>
                <w:rFonts w:ascii="Times New Roman" w:hAnsi="Times New Roman" w:cs="Times New Roman"/>
                <w:b/>
                <w:color w:val="000000" w:themeColor="text1"/>
                <w:sz w:val="20"/>
                <w:szCs w:val="20"/>
                <w:lang w:eastAsia="fr-FR"/>
              </w:rPr>
            </w:pPr>
            <w:r w:rsidRPr="007258E4">
              <w:rPr>
                <w:rFonts w:ascii="Times New Roman" w:hAnsi="Times New Roman" w:cs="Times New Roman"/>
                <w:b/>
                <w:bCs/>
                <w:color w:val="000000" w:themeColor="text1"/>
                <w:kern w:val="24"/>
                <w:sz w:val="20"/>
                <w:szCs w:val="20"/>
                <w:lang w:eastAsia="fr-FR"/>
              </w:rPr>
              <w:t>Rang de la France</w:t>
            </w:r>
          </w:p>
          <w:p w14:paraId="0DD84074" w14:textId="77777777" w:rsidR="000B0854" w:rsidRPr="007258E4" w:rsidRDefault="000B0854" w:rsidP="000B0854">
            <w:pPr>
              <w:jc w:val="center"/>
              <w:rPr>
                <w:rFonts w:ascii="Times New Roman" w:hAnsi="Times New Roman" w:cs="Times New Roman"/>
                <w:b/>
                <w:color w:val="000000" w:themeColor="text1"/>
                <w:sz w:val="20"/>
                <w:szCs w:val="20"/>
                <w:lang w:eastAsia="fr-FR"/>
              </w:rPr>
            </w:pPr>
            <w:r w:rsidRPr="007258E4">
              <w:rPr>
                <w:rFonts w:ascii="Times New Roman" w:hAnsi="Times New Roman" w:cs="Times New Roman"/>
                <w:b/>
                <w:bCs/>
                <w:color w:val="000000" w:themeColor="text1"/>
                <w:kern w:val="24"/>
                <w:sz w:val="20"/>
                <w:szCs w:val="20"/>
                <w:lang w:eastAsia="fr-FR"/>
              </w:rPr>
              <w:t>2013 / 2011</w:t>
            </w:r>
          </w:p>
        </w:tc>
        <w:tc>
          <w:tcPr>
            <w:tcW w:w="1295" w:type="pct"/>
            <w:tcBorders>
              <w:top w:val="single" w:sz="4" w:space="0" w:color="auto"/>
              <w:bottom w:val="single" w:sz="4" w:space="0" w:color="auto"/>
            </w:tcBorders>
            <w:hideMark/>
          </w:tcPr>
          <w:p w14:paraId="3C2D625B" w14:textId="77777777" w:rsidR="000B0854" w:rsidRPr="007258E4" w:rsidRDefault="000B0854" w:rsidP="000B0854">
            <w:pPr>
              <w:jc w:val="center"/>
              <w:rPr>
                <w:rFonts w:ascii="Times New Roman" w:hAnsi="Times New Roman" w:cs="Times New Roman"/>
                <w:b/>
                <w:color w:val="000000" w:themeColor="text1"/>
                <w:sz w:val="20"/>
                <w:szCs w:val="20"/>
                <w:lang w:eastAsia="fr-FR"/>
              </w:rPr>
            </w:pPr>
            <w:r w:rsidRPr="007258E4">
              <w:rPr>
                <w:rFonts w:ascii="Times New Roman" w:hAnsi="Times New Roman" w:cs="Times New Roman"/>
                <w:b/>
                <w:bCs/>
                <w:color w:val="000000" w:themeColor="text1"/>
                <w:kern w:val="24"/>
                <w:sz w:val="20"/>
                <w:szCs w:val="20"/>
                <w:lang w:eastAsia="fr-FR"/>
              </w:rPr>
              <w:t>Taux de satisfaction</w:t>
            </w:r>
          </w:p>
          <w:p w14:paraId="34230A16" w14:textId="77777777" w:rsidR="000B0854" w:rsidRPr="007258E4" w:rsidRDefault="000B0854" w:rsidP="000B0854">
            <w:pPr>
              <w:jc w:val="center"/>
              <w:rPr>
                <w:rFonts w:ascii="Times New Roman" w:hAnsi="Times New Roman" w:cs="Times New Roman"/>
                <w:b/>
                <w:color w:val="000000" w:themeColor="text1"/>
                <w:sz w:val="20"/>
                <w:szCs w:val="20"/>
                <w:lang w:eastAsia="fr-FR"/>
              </w:rPr>
            </w:pPr>
            <w:r w:rsidRPr="007258E4">
              <w:rPr>
                <w:rFonts w:ascii="Times New Roman" w:hAnsi="Times New Roman" w:cs="Times New Roman"/>
                <w:b/>
                <w:bCs/>
                <w:color w:val="000000" w:themeColor="text1"/>
                <w:kern w:val="24"/>
                <w:sz w:val="20"/>
                <w:szCs w:val="20"/>
                <w:lang w:eastAsia="fr-FR"/>
              </w:rPr>
              <w:t>Total (très satisfaits)</w:t>
            </w:r>
          </w:p>
          <w:p w14:paraId="3F46BD57" w14:textId="77777777" w:rsidR="000B0854" w:rsidRPr="007258E4" w:rsidRDefault="000B0854" w:rsidP="000B0854">
            <w:pPr>
              <w:jc w:val="center"/>
              <w:rPr>
                <w:rFonts w:ascii="Times New Roman" w:hAnsi="Times New Roman" w:cs="Times New Roman"/>
                <w:b/>
                <w:color w:val="000000" w:themeColor="text1"/>
                <w:sz w:val="20"/>
                <w:szCs w:val="20"/>
                <w:lang w:eastAsia="fr-FR"/>
              </w:rPr>
            </w:pPr>
            <w:r w:rsidRPr="007258E4">
              <w:rPr>
                <w:rFonts w:ascii="Times New Roman" w:hAnsi="Times New Roman" w:cs="Times New Roman"/>
                <w:b/>
                <w:bCs/>
                <w:color w:val="000000" w:themeColor="text1"/>
                <w:kern w:val="24"/>
                <w:sz w:val="20"/>
                <w:szCs w:val="20"/>
                <w:lang w:eastAsia="fr-FR"/>
              </w:rPr>
              <w:t>2013 / 2011</w:t>
            </w:r>
          </w:p>
        </w:tc>
        <w:tc>
          <w:tcPr>
            <w:tcW w:w="1080" w:type="pct"/>
            <w:tcBorders>
              <w:top w:val="single" w:sz="4" w:space="0" w:color="auto"/>
              <w:bottom w:val="single" w:sz="4" w:space="0" w:color="auto"/>
            </w:tcBorders>
            <w:hideMark/>
          </w:tcPr>
          <w:p w14:paraId="17DA9A29" w14:textId="77777777" w:rsidR="000B0854" w:rsidRPr="007258E4" w:rsidRDefault="000B0854" w:rsidP="000B0854">
            <w:pPr>
              <w:ind w:right="-370"/>
              <w:jc w:val="center"/>
              <w:rPr>
                <w:rFonts w:ascii="Times New Roman" w:hAnsi="Times New Roman" w:cs="Times New Roman"/>
                <w:b/>
                <w:color w:val="000000" w:themeColor="text1"/>
                <w:sz w:val="20"/>
                <w:szCs w:val="20"/>
                <w:lang w:eastAsia="fr-FR"/>
              </w:rPr>
            </w:pPr>
            <w:r w:rsidRPr="007258E4">
              <w:rPr>
                <w:rFonts w:ascii="Times New Roman" w:hAnsi="Times New Roman" w:cs="Times New Roman"/>
                <w:b/>
                <w:bCs/>
                <w:color w:val="000000" w:themeColor="text1"/>
                <w:kern w:val="24"/>
                <w:sz w:val="20"/>
                <w:szCs w:val="20"/>
                <w:lang w:eastAsia="fr-FR"/>
              </w:rPr>
              <w:t>Taux le plus élevé</w:t>
            </w:r>
          </w:p>
          <w:p w14:paraId="3858CB6C" w14:textId="77777777" w:rsidR="000B0854" w:rsidRPr="007258E4" w:rsidRDefault="000B0854" w:rsidP="000B0854">
            <w:pPr>
              <w:ind w:right="-370"/>
              <w:jc w:val="center"/>
              <w:rPr>
                <w:rFonts w:ascii="Times New Roman" w:hAnsi="Times New Roman" w:cs="Times New Roman"/>
                <w:b/>
                <w:color w:val="000000" w:themeColor="text1"/>
                <w:sz w:val="20"/>
                <w:szCs w:val="20"/>
                <w:lang w:eastAsia="fr-FR"/>
              </w:rPr>
            </w:pPr>
            <w:r w:rsidRPr="007258E4">
              <w:rPr>
                <w:rFonts w:ascii="Times New Roman" w:hAnsi="Times New Roman" w:cs="Times New Roman"/>
                <w:b/>
                <w:bCs/>
                <w:color w:val="000000" w:themeColor="text1"/>
                <w:kern w:val="24"/>
                <w:sz w:val="20"/>
                <w:szCs w:val="20"/>
                <w:lang w:eastAsia="fr-FR"/>
              </w:rPr>
              <w:t>2013</w:t>
            </w:r>
          </w:p>
        </w:tc>
        <w:tc>
          <w:tcPr>
            <w:tcW w:w="784" w:type="pct"/>
            <w:tcBorders>
              <w:top w:val="single" w:sz="4" w:space="0" w:color="auto"/>
              <w:bottom w:val="single" w:sz="4" w:space="0" w:color="auto"/>
            </w:tcBorders>
            <w:hideMark/>
          </w:tcPr>
          <w:p w14:paraId="4180AE60" w14:textId="77777777" w:rsidR="000B0854" w:rsidRPr="007258E4" w:rsidRDefault="000B0854" w:rsidP="000B0854">
            <w:pPr>
              <w:jc w:val="center"/>
              <w:rPr>
                <w:rFonts w:ascii="Times New Roman" w:hAnsi="Times New Roman" w:cs="Times New Roman"/>
                <w:b/>
                <w:color w:val="000000" w:themeColor="text1"/>
                <w:sz w:val="20"/>
                <w:szCs w:val="20"/>
                <w:lang w:eastAsia="fr-FR"/>
              </w:rPr>
            </w:pPr>
            <w:r w:rsidRPr="007258E4">
              <w:rPr>
                <w:rFonts w:ascii="Times New Roman" w:hAnsi="Times New Roman" w:cs="Times New Roman"/>
                <w:b/>
                <w:bCs/>
                <w:color w:val="000000" w:themeColor="text1"/>
                <w:kern w:val="24"/>
                <w:sz w:val="20"/>
                <w:szCs w:val="20"/>
                <w:lang w:eastAsia="fr-FR"/>
              </w:rPr>
              <w:t>Taux le plus faible</w:t>
            </w:r>
          </w:p>
          <w:p w14:paraId="00AE5EF0" w14:textId="77777777" w:rsidR="000B0854" w:rsidRPr="007258E4" w:rsidRDefault="000B0854" w:rsidP="000B0854">
            <w:pPr>
              <w:jc w:val="center"/>
              <w:rPr>
                <w:rFonts w:ascii="Times New Roman" w:hAnsi="Times New Roman" w:cs="Times New Roman"/>
                <w:b/>
                <w:color w:val="000000" w:themeColor="text1"/>
                <w:sz w:val="20"/>
                <w:szCs w:val="20"/>
                <w:lang w:eastAsia="fr-FR"/>
              </w:rPr>
            </w:pPr>
            <w:r w:rsidRPr="007258E4">
              <w:rPr>
                <w:rFonts w:ascii="Times New Roman" w:hAnsi="Times New Roman" w:cs="Times New Roman"/>
                <w:b/>
                <w:bCs/>
                <w:color w:val="000000" w:themeColor="text1"/>
                <w:kern w:val="24"/>
                <w:sz w:val="20"/>
                <w:szCs w:val="20"/>
                <w:lang w:eastAsia="fr-FR"/>
              </w:rPr>
              <w:t>2013</w:t>
            </w:r>
          </w:p>
        </w:tc>
      </w:tr>
      <w:tr w:rsidR="000B0854" w:rsidRPr="007258E4" w14:paraId="6244DA19" w14:textId="77777777" w:rsidTr="000B0854">
        <w:tc>
          <w:tcPr>
            <w:tcW w:w="1148" w:type="pct"/>
            <w:tcBorders>
              <w:top w:val="single" w:sz="4" w:space="0" w:color="auto"/>
            </w:tcBorders>
            <w:hideMark/>
          </w:tcPr>
          <w:p w14:paraId="1A69866D" w14:textId="77777777" w:rsidR="000B0854" w:rsidRPr="007258E4" w:rsidRDefault="000B0854" w:rsidP="000B0854">
            <w:pPr>
              <w:rPr>
                <w:rFonts w:ascii="Times New Roman" w:hAnsi="Times New Roman" w:cs="Times New Roman"/>
                <w:color w:val="000000" w:themeColor="text1"/>
                <w:sz w:val="20"/>
                <w:szCs w:val="20"/>
                <w:lang w:eastAsia="fr-FR"/>
              </w:rPr>
            </w:pPr>
            <w:r w:rsidRPr="007258E4">
              <w:rPr>
                <w:rFonts w:ascii="Times New Roman" w:hAnsi="Times New Roman" w:cs="Times New Roman"/>
                <w:bCs/>
                <w:color w:val="000000" w:themeColor="text1"/>
                <w:kern w:val="24"/>
                <w:sz w:val="20"/>
                <w:szCs w:val="20"/>
                <w:lang w:eastAsia="fr-FR"/>
              </w:rPr>
              <w:t>Information</w:t>
            </w:r>
          </w:p>
        </w:tc>
        <w:tc>
          <w:tcPr>
            <w:tcW w:w="693" w:type="pct"/>
            <w:tcBorders>
              <w:top w:val="single" w:sz="4" w:space="0" w:color="auto"/>
            </w:tcBorders>
            <w:hideMark/>
          </w:tcPr>
          <w:p w14:paraId="5D56C71B"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4</w:t>
            </w:r>
            <w:r w:rsidRPr="007258E4">
              <w:rPr>
                <w:rFonts w:ascii="Times New Roman" w:hAnsi="Times New Roman" w:cs="Times New Roman"/>
                <w:color w:val="000000" w:themeColor="text1"/>
                <w:kern w:val="24"/>
                <w:position w:val="8"/>
                <w:sz w:val="20"/>
                <w:szCs w:val="20"/>
                <w:vertAlign w:val="superscript"/>
                <w:lang w:eastAsia="fr-FR"/>
              </w:rPr>
              <w:t>e</w:t>
            </w:r>
            <w:r w:rsidRPr="007258E4">
              <w:rPr>
                <w:rFonts w:ascii="Times New Roman" w:hAnsi="Times New Roman" w:cs="Times New Roman"/>
                <w:color w:val="000000" w:themeColor="text1"/>
                <w:kern w:val="24"/>
                <w:sz w:val="20"/>
                <w:szCs w:val="20"/>
                <w:lang w:eastAsia="fr-FR"/>
              </w:rPr>
              <w:t xml:space="preserve"> / 18</w:t>
            </w:r>
            <w:r w:rsidRPr="007258E4">
              <w:rPr>
                <w:rFonts w:ascii="Times New Roman" w:hAnsi="Times New Roman" w:cs="Times New Roman"/>
                <w:color w:val="000000" w:themeColor="text1"/>
                <w:kern w:val="24"/>
                <w:position w:val="8"/>
                <w:sz w:val="20"/>
                <w:szCs w:val="20"/>
                <w:vertAlign w:val="superscript"/>
                <w:lang w:eastAsia="fr-FR"/>
              </w:rPr>
              <w:t>e</w:t>
            </w:r>
          </w:p>
        </w:tc>
        <w:tc>
          <w:tcPr>
            <w:tcW w:w="1295" w:type="pct"/>
            <w:tcBorders>
              <w:top w:val="single" w:sz="4" w:space="0" w:color="auto"/>
            </w:tcBorders>
            <w:hideMark/>
          </w:tcPr>
          <w:p w14:paraId="652149E6"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78 % (17%) / 76 % (23 %)</w:t>
            </w:r>
          </w:p>
        </w:tc>
        <w:tc>
          <w:tcPr>
            <w:tcW w:w="1080" w:type="pct"/>
            <w:tcBorders>
              <w:top w:val="single" w:sz="4" w:space="0" w:color="auto"/>
            </w:tcBorders>
            <w:hideMark/>
          </w:tcPr>
          <w:p w14:paraId="491CD665" w14:textId="77777777" w:rsidR="000B0854" w:rsidRPr="007258E4" w:rsidRDefault="000B0854" w:rsidP="000B0854">
            <w:pPr>
              <w:ind w:right="-370"/>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 xml:space="preserve">81% </w:t>
            </w:r>
          </w:p>
          <w:p w14:paraId="7259B25C" w14:textId="77777777" w:rsidR="000B0854" w:rsidRPr="007258E4" w:rsidRDefault="000B0854" w:rsidP="000B0854">
            <w:pPr>
              <w:ind w:right="-370"/>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(Luxembourg)</w:t>
            </w:r>
          </w:p>
        </w:tc>
        <w:tc>
          <w:tcPr>
            <w:tcW w:w="784" w:type="pct"/>
            <w:tcBorders>
              <w:top w:val="single" w:sz="4" w:space="0" w:color="auto"/>
            </w:tcBorders>
            <w:hideMark/>
          </w:tcPr>
          <w:p w14:paraId="761C732C"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38 %</w:t>
            </w:r>
          </w:p>
          <w:p w14:paraId="3C7B53A6"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(Estonie)</w:t>
            </w:r>
          </w:p>
        </w:tc>
      </w:tr>
      <w:tr w:rsidR="000B0854" w:rsidRPr="007258E4" w14:paraId="281433D9" w14:textId="77777777" w:rsidTr="000B0854">
        <w:tc>
          <w:tcPr>
            <w:tcW w:w="1148" w:type="pct"/>
            <w:hideMark/>
          </w:tcPr>
          <w:p w14:paraId="066FE646" w14:textId="77777777" w:rsidR="000B0854" w:rsidRPr="007258E4" w:rsidRDefault="000B0854" w:rsidP="000B0854">
            <w:pPr>
              <w:rPr>
                <w:rFonts w:ascii="Times New Roman" w:hAnsi="Times New Roman" w:cs="Times New Roman"/>
                <w:color w:val="000000" w:themeColor="text1"/>
                <w:sz w:val="20"/>
                <w:szCs w:val="20"/>
                <w:lang w:eastAsia="fr-FR"/>
              </w:rPr>
            </w:pPr>
            <w:r w:rsidRPr="007258E4">
              <w:rPr>
                <w:rFonts w:ascii="Times New Roman" w:hAnsi="Times New Roman" w:cs="Times New Roman"/>
                <w:bCs/>
                <w:color w:val="000000" w:themeColor="text1"/>
                <w:kern w:val="24"/>
                <w:sz w:val="20"/>
                <w:szCs w:val="20"/>
                <w:lang w:eastAsia="fr-FR"/>
              </w:rPr>
              <w:t>Achat de billets</w:t>
            </w:r>
          </w:p>
        </w:tc>
        <w:tc>
          <w:tcPr>
            <w:tcW w:w="693" w:type="pct"/>
            <w:hideMark/>
          </w:tcPr>
          <w:p w14:paraId="0DE1C235"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3</w:t>
            </w:r>
            <w:r w:rsidRPr="007258E4">
              <w:rPr>
                <w:rFonts w:ascii="Times New Roman" w:hAnsi="Times New Roman" w:cs="Times New Roman"/>
                <w:color w:val="000000" w:themeColor="text1"/>
                <w:kern w:val="24"/>
                <w:position w:val="8"/>
                <w:sz w:val="20"/>
                <w:szCs w:val="20"/>
                <w:vertAlign w:val="superscript"/>
                <w:lang w:eastAsia="fr-FR"/>
              </w:rPr>
              <w:t>e</w:t>
            </w:r>
            <w:r w:rsidRPr="007258E4">
              <w:rPr>
                <w:rFonts w:ascii="Times New Roman" w:hAnsi="Times New Roman" w:cs="Times New Roman"/>
                <w:color w:val="000000" w:themeColor="text1"/>
                <w:kern w:val="24"/>
                <w:sz w:val="20"/>
                <w:szCs w:val="20"/>
                <w:lang w:eastAsia="fr-FR"/>
              </w:rPr>
              <w:t xml:space="preserve"> / 14</w:t>
            </w:r>
            <w:r w:rsidRPr="007258E4">
              <w:rPr>
                <w:rFonts w:ascii="Times New Roman" w:hAnsi="Times New Roman" w:cs="Times New Roman"/>
                <w:color w:val="000000" w:themeColor="text1"/>
                <w:kern w:val="24"/>
                <w:position w:val="8"/>
                <w:sz w:val="20"/>
                <w:szCs w:val="20"/>
                <w:vertAlign w:val="superscript"/>
                <w:lang w:eastAsia="fr-FR"/>
              </w:rPr>
              <w:t>e</w:t>
            </w:r>
          </w:p>
        </w:tc>
        <w:tc>
          <w:tcPr>
            <w:tcW w:w="1295" w:type="pct"/>
            <w:hideMark/>
          </w:tcPr>
          <w:p w14:paraId="28E41644"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77 % (29 %) / 84 % (35 %)</w:t>
            </w:r>
          </w:p>
        </w:tc>
        <w:tc>
          <w:tcPr>
            <w:tcW w:w="1080" w:type="pct"/>
            <w:hideMark/>
          </w:tcPr>
          <w:p w14:paraId="5136EC38" w14:textId="77777777" w:rsidR="000B0854" w:rsidRPr="007258E4" w:rsidRDefault="000B0854" w:rsidP="000B0854">
            <w:pPr>
              <w:ind w:right="-370"/>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 xml:space="preserve">80 % </w:t>
            </w:r>
          </w:p>
          <w:p w14:paraId="4310FF0E" w14:textId="77777777" w:rsidR="000B0854" w:rsidRPr="007258E4" w:rsidRDefault="000B0854" w:rsidP="000B0854">
            <w:pPr>
              <w:ind w:right="-370"/>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(Belgique)</w:t>
            </w:r>
          </w:p>
        </w:tc>
        <w:tc>
          <w:tcPr>
            <w:tcW w:w="784" w:type="pct"/>
            <w:hideMark/>
          </w:tcPr>
          <w:p w14:paraId="7E158656"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 xml:space="preserve">41 % </w:t>
            </w:r>
          </w:p>
          <w:p w14:paraId="1ACF91AC"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(Bulgarie)</w:t>
            </w:r>
          </w:p>
        </w:tc>
      </w:tr>
      <w:tr w:rsidR="000B0854" w:rsidRPr="007258E4" w14:paraId="57873A5C" w14:textId="77777777" w:rsidTr="000B0854">
        <w:tc>
          <w:tcPr>
            <w:tcW w:w="1148" w:type="pct"/>
            <w:hideMark/>
          </w:tcPr>
          <w:p w14:paraId="2A15E6CC" w14:textId="77777777" w:rsidR="000B0854" w:rsidRPr="007258E4" w:rsidRDefault="000B0854" w:rsidP="000B0854">
            <w:pPr>
              <w:rPr>
                <w:rFonts w:ascii="Times New Roman" w:hAnsi="Times New Roman" w:cs="Times New Roman"/>
                <w:color w:val="000000" w:themeColor="text1"/>
                <w:sz w:val="20"/>
                <w:szCs w:val="20"/>
                <w:lang w:eastAsia="fr-FR"/>
              </w:rPr>
            </w:pPr>
            <w:r w:rsidRPr="007258E4">
              <w:rPr>
                <w:rFonts w:ascii="Times New Roman" w:hAnsi="Times New Roman" w:cs="Times New Roman"/>
                <w:bCs/>
                <w:color w:val="000000" w:themeColor="text1"/>
                <w:kern w:val="24"/>
                <w:sz w:val="20"/>
                <w:szCs w:val="20"/>
                <w:lang w:eastAsia="fr-FR"/>
              </w:rPr>
              <w:t xml:space="preserve">Réclamations </w:t>
            </w:r>
          </w:p>
        </w:tc>
        <w:tc>
          <w:tcPr>
            <w:tcW w:w="693" w:type="pct"/>
            <w:hideMark/>
          </w:tcPr>
          <w:p w14:paraId="2543E738"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1</w:t>
            </w:r>
            <w:r w:rsidRPr="007258E4">
              <w:rPr>
                <w:rFonts w:ascii="Times New Roman" w:hAnsi="Times New Roman" w:cs="Times New Roman"/>
                <w:color w:val="000000" w:themeColor="text1"/>
                <w:kern w:val="24"/>
                <w:position w:val="8"/>
                <w:sz w:val="20"/>
                <w:szCs w:val="20"/>
                <w:vertAlign w:val="superscript"/>
                <w:lang w:eastAsia="fr-FR"/>
              </w:rPr>
              <w:t>er</w:t>
            </w:r>
            <w:r w:rsidRPr="007258E4">
              <w:rPr>
                <w:rFonts w:ascii="Times New Roman" w:hAnsi="Times New Roman" w:cs="Times New Roman"/>
                <w:color w:val="000000" w:themeColor="text1"/>
                <w:kern w:val="24"/>
                <w:sz w:val="20"/>
                <w:szCs w:val="20"/>
                <w:lang w:eastAsia="fr-FR"/>
              </w:rPr>
              <w:t xml:space="preserve"> / 18</w:t>
            </w:r>
            <w:r w:rsidRPr="007258E4">
              <w:rPr>
                <w:rFonts w:ascii="Times New Roman" w:hAnsi="Times New Roman" w:cs="Times New Roman"/>
                <w:color w:val="000000" w:themeColor="text1"/>
                <w:kern w:val="24"/>
                <w:position w:val="8"/>
                <w:sz w:val="20"/>
                <w:szCs w:val="20"/>
                <w:vertAlign w:val="superscript"/>
                <w:lang w:eastAsia="fr-FR"/>
              </w:rPr>
              <w:t>e</w:t>
            </w:r>
          </w:p>
        </w:tc>
        <w:tc>
          <w:tcPr>
            <w:tcW w:w="1295" w:type="pct"/>
            <w:hideMark/>
          </w:tcPr>
          <w:p w14:paraId="390A1148"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55 % (6 %) / 58 % (11 %)</w:t>
            </w:r>
          </w:p>
        </w:tc>
        <w:tc>
          <w:tcPr>
            <w:tcW w:w="1080" w:type="pct"/>
            <w:hideMark/>
          </w:tcPr>
          <w:p w14:paraId="5245CB00" w14:textId="77777777" w:rsidR="000B0854" w:rsidRPr="007258E4" w:rsidRDefault="000B0854" w:rsidP="000B0854">
            <w:pPr>
              <w:ind w:right="-370"/>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55 %</w:t>
            </w:r>
          </w:p>
          <w:p w14:paraId="5A89A2A7" w14:textId="6DC81A76" w:rsidR="000B0854" w:rsidRPr="007258E4" w:rsidRDefault="000B0854" w:rsidP="000B0854">
            <w:pPr>
              <w:ind w:right="-370"/>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(France – Roy. Uni)</w:t>
            </w:r>
          </w:p>
        </w:tc>
        <w:tc>
          <w:tcPr>
            <w:tcW w:w="784" w:type="pct"/>
            <w:hideMark/>
          </w:tcPr>
          <w:p w14:paraId="6D31D0D5"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6 %</w:t>
            </w:r>
          </w:p>
          <w:p w14:paraId="2B25785C"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(Estonie)</w:t>
            </w:r>
          </w:p>
        </w:tc>
      </w:tr>
      <w:tr w:rsidR="000B0854" w:rsidRPr="007258E4" w14:paraId="71274B0A" w14:textId="77777777" w:rsidTr="000B0854">
        <w:tc>
          <w:tcPr>
            <w:tcW w:w="1148" w:type="pct"/>
            <w:hideMark/>
          </w:tcPr>
          <w:p w14:paraId="79D6CC8F" w14:textId="77777777" w:rsidR="000B0854" w:rsidRPr="007258E4" w:rsidRDefault="000B0854" w:rsidP="000B0854">
            <w:pPr>
              <w:rPr>
                <w:rFonts w:ascii="Times New Roman" w:hAnsi="Times New Roman" w:cs="Times New Roman"/>
                <w:color w:val="000000" w:themeColor="text1"/>
                <w:sz w:val="20"/>
                <w:szCs w:val="20"/>
                <w:lang w:eastAsia="fr-FR"/>
              </w:rPr>
            </w:pPr>
            <w:r w:rsidRPr="007258E4">
              <w:rPr>
                <w:rFonts w:ascii="Times New Roman" w:hAnsi="Times New Roman" w:cs="Times New Roman"/>
                <w:bCs/>
                <w:color w:val="000000" w:themeColor="text1"/>
                <w:kern w:val="24"/>
                <w:sz w:val="20"/>
                <w:szCs w:val="20"/>
                <w:lang w:eastAsia="fr-FR"/>
              </w:rPr>
              <w:t>Propreté</w:t>
            </w:r>
          </w:p>
        </w:tc>
        <w:tc>
          <w:tcPr>
            <w:tcW w:w="693" w:type="pct"/>
            <w:hideMark/>
          </w:tcPr>
          <w:p w14:paraId="407294CB"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7</w:t>
            </w:r>
            <w:r w:rsidRPr="007258E4">
              <w:rPr>
                <w:rFonts w:ascii="Times New Roman" w:hAnsi="Times New Roman" w:cs="Times New Roman"/>
                <w:color w:val="000000" w:themeColor="text1"/>
                <w:kern w:val="24"/>
                <w:position w:val="8"/>
                <w:sz w:val="20"/>
                <w:szCs w:val="20"/>
                <w:vertAlign w:val="superscript"/>
                <w:lang w:eastAsia="fr-FR"/>
              </w:rPr>
              <w:t>e</w:t>
            </w:r>
            <w:r w:rsidRPr="007258E4">
              <w:rPr>
                <w:rFonts w:ascii="Times New Roman" w:hAnsi="Times New Roman" w:cs="Times New Roman"/>
                <w:color w:val="000000" w:themeColor="text1"/>
                <w:kern w:val="24"/>
                <w:sz w:val="20"/>
                <w:szCs w:val="20"/>
                <w:lang w:eastAsia="fr-FR"/>
              </w:rPr>
              <w:t>/ 12</w:t>
            </w:r>
            <w:r w:rsidRPr="007258E4">
              <w:rPr>
                <w:rFonts w:ascii="Times New Roman" w:hAnsi="Times New Roman" w:cs="Times New Roman"/>
                <w:color w:val="000000" w:themeColor="text1"/>
                <w:kern w:val="24"/>
                <w:position w:val="8"/>
                <w:sz w:val="20"/>
                <w:szCs w:val="20"/>
                <w:vertAlign w:val="superscript"/>
                <w:lang w:eastAsia="fr-FR"/>
              </w:rPr>
              <w:t>e</w:t>
            </w:r>
          </w:p>
        </w:tc>
        <w:tc>
          <w:tcPr>
            <w:tcW w:w="1295" w:type="pct"/>
            <w:hideMark/>
          </w:tcPr>
          <w:p w14:paraId="06C2F98E"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72 % (9 %) / 70 % (11 %)</w:t>
            </w:r>
          </w:p>
        </w:tc>
        <w:tc>
          <w:tcPr>
            <w:tcW w:w="1080" w:type="pct"/>
            <w:hideMark/>
          </w:tcPr>
          <w:p w14:paraId="00EC6CD8" w14:textId="77777777" w:rsidR="000B0854" w:rsidRPr="007258E4" w:rsidRDefault="000B0854" w:rsidP="000B0854">
            <w:pPr>
              <w:ind w:right="-370"/>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80 %</w:t>
            </w:r>
          </w:p>
          <w:p w14:paraId="09184D0D" w14:textId="77777777" w:rsidR="000B0854" w:rsidRPr="007258E4" w:rsidRDefault="000B0854" w:rsidP="000B0854">
            <w:pPr>
              <w:ind w:right="-370"/>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(Autriche)</w:t>
            </w:r>
          </w:p>
        </w:tc>
        <w:tc>
          <w:tcPr>
            <w:tcW w:w="784" w:type="pct"/>
            <w:hideMark/>
          </w:tcPr>
          <w:p w14:paraId="04509025"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29%</w:t>
            </w:r>
          </w:p>
          <w:p w14:paraId="21B67EB3"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(Roumanie)</w:t>
            </w:r>
          </w:p>
        </w:tc>
      </w:tr>
      <w:tr w:rsidR="000B0854" w:rsidRPr="007258E4" w14:paraId="55B63899" w14:textId="77777777" w:rsidTr="000B0854">
        <w:tc>
          <w:tcPr>
            <w:tcW w:w="1148" w:type="pct"/>
            <w:hideMark/>
          </w:tcPr>
          <w:p w14:paraId="0B76B50F" w14:textId="77777777" w:rsidR="000B0854" w:rsidRPr="007258E4" w:rsidRDefault="000B0854" w:rsidP="000B0854">
            <w:pPr>
              <w:rPr>
                <w:rFonts w:ascii="Times New Roman" w:hAnsi="Times New Roman" w:cs="Times New Roman"/>
                <w:color w:val="000000" w:themeColor="text1"/>
                <w:sz w:val="20"/>
                <w:szCs w:val="20"/>
                <w:lang w:eastAsia="fr-FR"/>
              </w:rPr>
            </w:pPr>
            <w:r w:rsidRPr="007258E4">
              <w:rPr>
                <w:rFonts w:ascii="Times New Roman" w:hAnsi="Times New Roman" w:cs="Times New Roman"/>
                <w:bCs/>
                <w:color w:val="000000" w:themeColor="text1"/>
                <w:kern w:val="24"/>
                <w:sz w:val="20"/>
                <w:szCs w:val="20"/>
                <w:lang w:eastAsia="fr-FR"/>
              </w:rPr>
              <w:t>Accessibilité handicapés</w:t>
            </w:r>
          </w:p>
        </w:tc>
        <w:tc>
          <w:tcPr>
            <w:tcW w:w="693" w:type="pct"/>
            <w:hideMark/>
          </w:tcPr>
          <w:p w14:paraId="640CCA67"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5</w:t>
            </w:r>
            <w:r w:rsidRPr="007258E4">
              <w:rPr>
                <w:rFonts w:ascii="Times New Roman" w:hAnsi="Times New Roman" w:cs="Times New Roman"/>
                <w:color w:val="000000" w:themeColor="text1"/>
                <w:kern w:val="24"/>
                <w:position w:val="8"/>
                <w:sz w:val="20"/>
                <w:szCs w:val="20"/>
                <w:vertAlign w:val="superscript"/>
                <w:lang w:eastAsia="fr-FR"/>
              </w:rPr>
              <w:t xml:space="preserve">e </w:t>
            </w:r>
            <w:r w:rsidRPr="007258E4">
              <w:rPr>
                <w:rFonts w:ascii="Times New Roman" w:hAnsi="Times New Roman" w:cs="Times New Roman"/>
                <w:color w:val="000000" w:themeColor="text1"/>
                <w:kern w:val="24"/>
                <w:sz w:val="20"/>
                <w:szCs w:val="20"/>
                <w:lang w:eastAsia="fr-FR"/>
              </w:rPr>
              <w:t>/ -</w:t>
            </w:r>
          </w:p>
        </w:tc>
        <w:tc>
          <w:tcPr>
            <w:tcW w:w="1295" w:type="pct"/>
            <w:hideMark/>
          </w:tcPr>
          <w:p w14:paraId="59BDB5F8"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57 % (9 %)</w:t>
            </w:r>
          </w:p>
        </w:tc>
        <w:tc>
          <w:tcPr>
            <w:tcW w:w="1080" w:type="pct"/>
            <w:hideMark/>
          </w:tcPr>
          <w:p w14:paraId="5DFAE227" w14:textId="77777777" w:rsidR="000B0854" w:rsidRPr="007258E4" w:rsidRDefault="000B0854" w:rsidP="000B0854">
            <w:pPr>
              <w:ind w:right="-370"/>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65 %</w:t>
            </w:r>
          </w:p>
          <w:p w14:paraId="7CC2E40E" w14:textId="77777777" w:rsidR="000B0854" w:rsidRPr="007258E4" w:rsidRDefault="000B0854" w:rsidP="000B0854">
            <w:pPr>
              <w:ind w:right="-370"/>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(Royaume-Uni)</w:t>
            </w:r>
          </w:p>
        </w:tc>
        <w:tc>
          <w:tcPr>
            <w:tcW w:w="784" w:type="pct"/>
            <w:hideMark/>
          </w:tcPr>
          <w:p w14:paraId="5BB3F0E2"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 xml:space="preserve">24 % </w:t>
            </w:r>
          </w:p>
          <w:p w14:paraId="212CFB6D"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(Estonie)</w:t>
            </w:r>
          </w:p>
        </w:tc>
      </w:tr>
      <w:tr w:rsidR="000B0854" w:rsidRPr="007258E4" w14:paraId="7962A2B7" w14:textId="77777777" w:rsidTr="000B0854">
        <w:tc>
          <w:tcPr>
            <w:tcW w:w="1148" w:type="pct"/>
            <w:tcBorders>
              <w:bottom w:val="single" w:sz="4" w:space="0" w:color="auto"/>
            </w:tcBorders>
            <w:hideMark/>
          </w:tcPr>
          <w:p w14:paraId="4AA621AB" w14:textId="7487D632" w:rsidR="000B0854" w:rsidRPr="007258E4" w:rsidRDefault="0085355C" w:rsidP="000B0854">
            <w:pPr>
              <w:rPr>
                <w:rFonts w:ascii="Times New Roman" w:hAnsi="Times New Roman" w:cs="Times New Roman"/>
                <w:color w:val="000000" w:themeColor="text1"/>
                <w:sz w:val="20"/>
                <w:szCs w:val="20"/>
                <w:lang w:eastAsia="fr-FR"/>
              </w:rPr>
            </w:pPr>
            <w:r w:rsidRPr="007258E4">
              <w:rPr>
                <w:rFonts w:ascii="Times New Roman" w:hAnsi="Times New Roman" w:cs="Times New Roman"/>
                <w:bCs/>
                <w:color w:val="000000" w:themeColor="text1"/>
                <w:kern w:val="24"/>
                <w:sz w:val="20"/>
                <w:szCs w:val="20"/>
                <w:lang w:eastAsia="fr-FR"/>
              </w:rPr>
              <w:t>Indice synthétique</w:t>
            </w:r>
          </w:p>
        </w:tc>
        <w:tc>
          <w:tcPr>
            <w:tcW w:w="693" w:type="pct"/>
            <w:tcBorders>
              <w:bottom w:val="single" w:sz="4" w:space="0" w:color="auto"/>
            </w:tcBorders>
            <w:hideMark/>
          </w:tcPr>
          <w:p w14:paraId="62668006"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4</w:t>
            </w:r>
            <w:r w:rsidRPr="007258E4">
              <w:rPr>
                <w:rFonts w:ascii="Times New Roman" w:hAnsi="Times New Roman" w:cs="Times New Roman"/>
                <w:color w:val="000000" w:themeColor="text1"/>
                <w:kern w:val="24"/>
                <w:position w:val="8"/>
                <w:sz w:val="20"/>
                <w:szCs w:val="20"/>
                <w:vertAlign w:val="superscript"/>
                <w:lang w:eastAsia="fr-FR"/>
              </w:rPr>
              <w:t xml:space="preserve">e </w:t>
            </w:r>
            <w:r w:rsidRPr="007258E4">
              <w:rPr>
                <w:rFonts w:ascii="Times New Roman" w:hAnsi="Times New Roman" w:cs="Times New Roman"/>
                <w:color w:val="000000" w:themeColor="text1"/>
                <w:kern w:val="24"/>
                <w:sz w:val="20"/>
                <w:szCs w:val="20"/>
                <w:lang w:eastAsia="fr-FR"/>
              </w:rPr>
              <w:t>/ -</w:t>
            </w:r>
          </w:p>
        </w:tc>
        <w:tc>
          <w:tcPr>
            <w:tcW w:w="1295" w:type="pct"/>
            <w:tcBorders>
              <w:bottom w:val="single" w:sz="4" w:space="0" w:color="auto"/>
            </w:tcBorders>
            <w:hideMark/>
          </w:tcPr>
          <w:p w14:paraId="114A5D65"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68 % (36 %)</w:t>
            </w:r>
          </w:p>
        </w:tc>
        <w:tc>
          <w:tcPr>
            <w:tcW w:w="1080" w:type="pct"/>
            <w:tcBorders>
              <w:bottom w:val="single" w:sz="4" w:space="0" w:color="auto"/>
            </w:tcBorders>
            <w:hideMark/>
          </w:tcPr>
          <w:p w14:paraId="6CED9ECA" w14:textId="77777777" w:rsidR="000B0854" w:rsidRPr="007258E4" w:rsidRDefault="000B0854" w:rsidP="000B0854">
            <w:pPr>
              <w:ind w:right="-370"/>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73 %</w:t>
            </w:r>
          </w:p>
          <w:p w14:paraId="72F1A6F0" w14:textId="77777777" w:rsidR="000B0854" w:rsidRPr="007258E4" w:rsidRDefault="000B0854" w:rsidP="000B0854">
            <w:pPr>
              <w:ind w:right="-370"/>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(Royaume-Uni)</w:t>
            </w:r>
          </w:p>
        </w:tc>
        <w:tc>
          <w:tcPr>
            <w:tcW w:w="784" w:type="pct"/>
            <w:tcBorders>
              <w:bottom w:val="single" w:sz="4" w:space="0" w:color="auto"/>
            </w:tcBorders>
            <w:hideMark/>
          </w:tcPr>
          <w:p w14:paraId="3B9E3342"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28 %</w:t>
            </w:r>
          </w:p>
          <w:p w14:paraId="3F213E5F"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(Estonie)</w:t>
            </w:r>
          </w:p>
        </w:tc>
      </w:tr>
    </w:tbl>
    <w:p w14:paraId="58094F60" w14:textId="77777777" w:rsidR="000B0854" w:rsidRPr="007258E4" w:rsidRDefault="000B0854" w:rsidP="000B0854">
      <w:pPr>
        <w:jc w:val="both"/>
        <w:rPr>
          <w:rFonts w:ascii="Times New Roman" w:hAnsi="Times New Roman" w:cs="Times New Roman"/>
          <w:color w:val="000000" w:themeColor="text1"/>
        </w:rPr>
      </w:pPr>
    </w:p>
    <w:p w14:paraId="5A36AAB3" w14:textId="665AC1F4" w:rsidR="00123D65" w:rsidRPr="007258E4" w:rsidRDefault="00123D65" w:rsidP="00F17F60">
      <w:pPr>
        <w:jc w:val="both"/>
        <w:rPr>
          <w:rFonts w:ascii="Times New Roman" w:hAnsi="Times New Roman" w:cs="Times New Roman"/>
          <w:b/>
          <w:bCs/>
          <w:color w:val="000000" w:themeColor="text1"/>
        </w:rPr>
      </w:pPr>
      <w:r w:rsidRPr="007258E4">
        <w:rPr>
          <w:rFonts w:ascii="Times New Roman" w:hAnsi="Times New Roman" w:cs="Times New Roman"/>
          <w:b/>
          <w:bCs/>
          <w:color w:val="000000" w:themeColor="text1"/>
        </w:rPr>
        <w:t>La satisfaction à l’égard des trains</w:t>
      </w:r>
    </w:p>
    <w:p w14:paraId="7C6D5170" w14:textId="6AE7A18A" w:rsidR="00335DDF" w:rsidRPr="007258E4" w:rsidRDefault="00123D65" w:rsidP="000B0854">
      <w:pPr>
        <w:jc w:val="both"/>
        <w:rPr>
          <w:rFonts w:ascii="Times New Roman" w:hAnsi="Times New Roman" w:cs="Times New Roman"/>
          <w:bCs/>
          <w:color w:val="000000" w:themeColor="text1"/>
        </w:rPr>
      </w:pPr>
      <w:r w:rsidRPr="007258E4">
        <w:rPr>
          <w:rFonts w:ascii="Times New Roman" w:hAnsi="Times New Roman" w:cs="Times New Roman"/>
          <w:bCs/>
          <w:color w:val="000000" w:themeColor="text1"/>
        </w:rPr>
        <w:t>La satisfaction à l’égard des trains est mes</w:t>
      </w:r>
      <w:r w:rsidR="000B0854" w:rsidRPr="007258E4">
        <w:rPr>
          <w:rFonts w:ascii="Times New Roman" w:hAnsi="Times New Roman" w:cs="Times New Roman"/>
          <w:bCs/>
          <w:color w:val="000000" w:themeColor="text1"/>
        </w:rPr>
        <w:t xml:space="preserve">urée en 2013 sur six registres : la fréquence des trains ; </w:t>
      </w:r>
      <w:r w:rsidR="00335DDF" w:rsidRPr="007258E4">
        <w:rPr>
          <w:rFonts w:ascii="Times New Roman" w:hAnsi="Times New Roman" w:cs="Times New Roman"/>
          <w:bCs/>
          <w:color w:val="000000" w:themeColor="text1"/>
        </w:rPr>
        <w:t>la ponctualité ;</w:t>
      </w:r>
      <w:r w:rsidR="000B0854" w:rsidRPr="007258E4">
        <w:rPr>
          <w:rFonts w:ascii="Times New Roman" w:hAnsi="Times New Roman" w:cs="Times New Roman"/>
          <w:bCs/>
          <w:color w:val="000000" w:themeColor="text1"/>
        </w:rPr>
        <w:t xml:space="preserve"> </w:t>
      </w:r>
      <w:r w:rsidR="00335DDF" w:rsidRPr="007258E4">
        <w:rPr>
          <w:rFonts w:ascii="Times New Roman" w:hAnsi="Times New Roman" w:cs="Times New Roman"/>
          <w:bCs/>
          <w:color w:val="000000" w:themeColor="text1"/>
        </w:rPr>
        <w:t>l’information ;</w:t>
      </w:r>
      <w:r w:rsidR="000B0854" w:rsidRPr="007258E4">
        <w:rPr>
          <w:rFonts w:ascii="Times New Roman" w:hAnsi="Times New Roman" w:cs="Times New Roman"/>
          <w:bCs/>
          <w:color w:val="000000" w:themeColor="text1"/>
        </w:rPr>
        <w:t xml:space="preserve"> </w:t>
      </w:r>
      <w:r w:rsidR="00335DDF" w:rsidRPr="007258E4">
        <w:rPr>
          <w:rFonts w:ascii="Times New Roman" w:hAnsi="Times New Roman" w:cs="Times New Roman"/>
          <w:bCs/>
          <w:color w:val="000000" w:themeColor="text1"/>
        </w:rPr>
        <w:t>la propreté ;</w:t>
      </w:r>
      <w:r w:rsidR="000B0854" w:rsidRPr="007258E4">
        <w:rPr>
          <w:rFonts w:ascii="Times New Roman" w:hAnsi="Times New Roman" w:cs="Times New Roman"/>
          <w:bCs/>
          <w:color w:val="000000" w:themeColor="text1"/>
        </w:rPr>
        <w:t xml:space="preserve"> </w:t>
      </w:r>
      <w:r w:rsidR="00335DDF" w:rsidRPr="007258E4">
        <w:rPr>
          <w:rFonts w:ascii="Times New Roman" w:hAnsi="Times New Roman" w:cs="Times New Roman"/>
          <w:bCs/>
          <w:color w:val="000000" w:themeColor="text1"/>
        </w:rPr>
        <w:t>la disponibilité du personnel ;</w:t>
      </w:r>
      <w:r w:rsidR="000B0854" w:rsidRPr="007258E4">
        <w:rPr>
          <w:rFonts w:ascii="Times New Roman" w:hAnsi="Times New Roman" w:cs="Times New Roman"/>
          <w:bCs/>
          <w:color w:val="000000" w:themeColor="text1"/>
        </w:rPr>
        <w:t xml:space="preserve"> </w:t>
      </w:r>
      <w:r w:rsidR="00335DDF" w:rsidRPr="007258E4">
        <w:rPr>
          <w:rFonts w:ascii="Times New Roman" w:hAnsi="Times New Roman" w:cs="Times New Roman"/>
          <w:bCs/>
          <w:color w:val="000000" w:themeColor="text1"/>
        </w:rPr>
        <w:t>l’accessibilité pour les personnes handicapées.</w:t>
      </w:r>
    </w:p>
    <w:p w14:paraId="0021B75C" w14:textId="77777777" w:rsidR="00123D65" w:rsidRPr="007258E4" w:rsidRDefault="00123D65" w:rsidP="00F17F60">
      <w:pPr>
        <w:jc w:val="both"/>
        <w:rPr>
          <w:rFonts w:ascii="Times New Roman" w:hAnsi="Times New Roman" w:cs="Times New Roman"/>
          <w:bCs/>
          <w:color w:val="000000" w:themeColor="text1"/>
        </w:rPr>
      </w:pPr>
    </w:p>
    <w:p w14:paraId="22C3AF53" w14:textId="78173CEB" w:rsidR="00123D65" w:rsidRPr="007258E4" w:rsidRDefault="00123D65" w:rsidP="00F17F60">
      <w:pPr>
        <w:jc w:val="both"/>
        <w:rPr>
          <w:rFonts w:ascii="Times New Roman" w:hAnsi="Times New Roman" w:cs="Times New Roman"/>
          <w:bCs/>
          <w:color w:val="000000" w:themeColor="text1"/>
        </w:rPr>
      </w:pPr>
      <w:r w:rsidRPr="007258E4">
        <w:rPr>
          <w:rFonts w:ascii="Times New Roman" w:hAnsi="Times New Roman" w:cs="Times New Roman"/>
          <w:bCs/>
          <w:color w:val="000000" w:themeColor="text1"/>
        </w:rPr>
        <w:t>À la différence de l’enquête de 2011, l’enquête n’a pas porté sur les importantes questions de la sécurité, de la durée du voyage, de la capacité des voitures, ou encore du confort. En revanche, une question a été introduite sur l’accessibilité des trains pour les personnes handicapées.</w:t>
      </w:r>
      <w:r w:rsidR="000B0854" w:rsidRPr="007258E4">
        <w:rPr>
          <w:rFonts w:ascii="Times New Roman" w:hAnsi="Times New Roman" w:cs="Times New Roman"/>
          <w:bCs/>
          <w:color w:val="000000" w:themeColor="text1"/>
        </w:rPr>
        <w:t xml:space="preserve"> </w:t>
      </w:r>
      <w:r w:rsidRPr="007258E4">
        <w:rPr>
          <w:rFonts w:ascii="Times New Roman" w:hAnsi="Times New Roman" w:cs="Times New Roman"/>
          <w:bCs/>
          <w:color w:val="000000" w:themeColor="text1"/>
        </w:rPr>
        <w:t>Autre nouveauté : un indicateur synthétique de satisfaction à l’égard des trains a été créé.</w:t>
      </w:r>
      <w:r w:rsidR="000B0854" w:rsidRPr="007258E4">
        <w:rPr>
          <w:rFonts w:ascii="Times New Roman" w:hAnsi="Times New Roman" w:cs="Times New Roman"/>
          <w:bCs/>
          <w:color w:val="000000" w:themeColor="text1"/>
        </w:rPr>
        <w:t xml:space="preserve"> </w:t>
      </w:r>
      <w:r w:rsidRPr="007258E4">
        <w:rPr>
          <w:rFonts w:ascii="Times New Roman" w:hAnsi="Times New Roman" w:cs="Times New Roman"/>
          <w:bCs/>
          <w:color w:val="000000" w:themeColor="text1"/>
        </w:rPr>
        <w:t>Signalons que les graphiques</w:t>
      </w:r>
      <w:r w:rsidR="000B0854" w:rsidRPr="007258E4">
        <w:rPr>
          <w:rFonts w:ascii="Times New Roman" w:hAnsi="Times New Roman" w:cs="Times New Roman"/>
          <w:bCs/>
          <w:color w:val="000000" w:themeColor="text1"/>
        </w:rPr>
        <w:t>, comme pour le cas des gares,</w:t>
      </w:r>
      <w:r w:rsidRPr="007258E4">
        <w:rPr>
          <w:rFonts w:ascii="Times New Roman" w:hAnsi="Times New Roman" w:cs="Times New Roman"/>
          <w:bCs/>
          <w:color w:val="000000" w:themeColor="text1"/>
        </w:rPr>
        <w:t xml:space="preserve"> sont réalisés de manière à mettre en avant le classement des niveaux « très satisfaits » qui discriminent souvent le plus les réponses.</w:t>
      </w:r>
    </w:p>
    <w:p w14:paraId="72D8802F" w14:textId="77777777" w:rsidR="00847B96" w:rsidRPr="007258E4" w:rsidRDefault="00847B96" w:rsidP="00F17F60">
      <w:pPr>
        <w:jc w:val="both"/>
        <w:rPr>
          <w:rFonts w:ascii="Times New Roman" w:hAnsi="Times New Roman" w:cs="Times New Roman"/>
          <w:bCs/>
          <w:color w:val="000000" w:themeColor="text1"/>
        </w:rPr>
      </w:pPr>
    </w:p>
    <w:p w14:paraId="1AF407D5" w14:textId="273695BD" w:rsidR="000B0854" w:rsidRPr="007258E4" w:rsidRDefault="000B0854" w:rsidP="000B0854">
      <w:pPr>
        <w:jc w:val="both"/>
        <w:rPr>
          <w:rFonts w:ascii="Times New Roman" w:hAnsi="Times New Roman" w:cs="Times New Roman"/>
          <w:bCs/>
          <w:color w:val="000000" w:themeColor="text1"/>
        </w:rPr>
      </w:pPr>
      <w:r w:rsidRPr="007258E4">
        <w:rPr>
          <w:rFonts w:ascii="Times New Roman" w:hAnsi="Times New Roman" w:cs="Times New Roman"/>
          <w:bCs/>
          <w:color w:val="000000" w:themeColor="text1"/>
        </w:rPr>
        <w:t>Au sujet de la fréquence des trains, la France se classe en 10</w:t>
      </w:r>
      <w:r w:rsidRPr="007258E4">
        <w:rPr>
          <w:rFonts w:ascii="Times New Roman" w:hAnsi="Times New Roman" w:cs="Times New Roman"/>
          <w:bCs/>
          <w:color w:val="000000" w:themeColor="text1"/>
          <w:vertAlign w:val="superscript"/>
        </w:rPr>
        <w:t>ème</w:t>
      </w:r>
      <w:r w:rsidRPr="007258E4">
        <w:rPr>
          <w:rFonts w:ascii="Times New Roman" w:hAnsi="Times New Roman" w:cs="Times New Roman"/>
          <w:bCs/>
          <w:color w:val="000000" w:themeColor="text1"/>
        </w:rPr>
        <w:t xml:space="preserve"> position pour ce qui concerne le total de satisfaits (67 %, 71 % en 2011). Et les « très satisfaits » en France sont moins nombreux que dans 23 autres pays. Au total, trois cinquièmes des Européens sont satisfaits de la fréquence de leurs trains. Les plus satisfaits sont au Danemark, en Irlande, au Pays-Bas, en Finlande, au Luxembourg, au Royaume-Uni où le taux de satisfaction est supérieur à 70 %. Les plus insatisfaits rassemblent, une nouvelle fois, des pays comme la Pologne, l’Estonie et la Bulgarie, mais aussi, pour cette question, la Croatie, nouvelle arrivée dans l’Union et dans l’enquête.</w:t>
      </w:r>
    </w:p>
    <w:p w14:paraId="0A989761" w14:textId="77777777" w:rsidR="000B0854" w:rsidRPr="007258E4" w:rsidRDefault="000B0854" w:rsidP="00F17F60">
      <w:pPr>
        <w:jc w:val="both"/>
        <w:rPr>
          <w:rFonts w:ascii="Times New Roman" w:hAnsi="Times New Roman" w:cs="Times New Roman"/>
          <w:bCs/>
          <w:color w:val="000000" w:themeColor="text1"/>
        </w:rPr>
      </w:pPr>
    </w:p>
    <w:p w14:paraId="14003312" w14:textId="303CD655" w:rsidR="00123D65" w:rsidRPr="007258E4" w:rsidRDefault="000013AD" w:rsidP="007258E4">
      <w:pPr>
        <w:keepNext/>
        <w:jc w:val="both"/>
        <w:rPr>
          <w:rFonts w:ascii="Times New Roman" w:hAnsi="Times New Roman" w:cs="Times New Roman"/>
          <w:b/>
          <w:bCs/>
          <w:color w:val="000000" w:themeColor="text1"/>
          <w:sz w:val="22"/>
        </w:rPr>
      </w:pPr>
      <w:r w:rsidRPr="007258E4">
        <w:rPr>
          <w:rFonts w:ascii="Times New Roman" w:hAnsi="Times New Roman" w:cs="Times New Roman"/>
          <w:b/>
          <w:bCs/>
          <w:color w:val="000000" w:themeColor="text1"/>
          <w:sz w:val="22"/>
        </w:rPr>
        <w:t>Satisfaction à l'égard</w:t>
      </w:r>
      <w:r w:rsidR="000B0854" w:rsidRPr="007258E4">
        <w:rPr>
          <w:rFonts w:ascii="Times New Roman" w:hAnsi="Times New Roman" w:cs="Times New Roman"/>
          <w:b/>
          <w:bCs/>
          <w:color w:val="000000" w:themeColor="text1"/>
          <w:sz w:val="22"/>
        </w:rPr>
        <w:t xml:space="preserve"> </w:t>
      </w:r>
      <w:r w:rsidR="007258E4" w:rsidRPr="007258E4">
        <w:rPr>
          <w:rFonts w:ascii="Times New Roman" w:hAnsi="Times New Roman" w:cs="Times New Roman"/>
          <w:b/>
          <w:bCs/>
          <w:color w:val="000000" w:themeColor="text1"/>
          <w:sz w:val="22"/>
        </w:rPr>
        <w:t xml:space="preserve">de la fréquence </w:t>
      </w:r>
      <w:r w:rsidR="000B0854" w:rsidRPr="007258E4">
        <w:rPr>
          <w:rFonts w:ascii="Times New Roman" w:hAnsi="Times New Roman" w:cs="Times New Roman"/>
          <w:b/>
          <w:bCs/>
          <w:color w:val="000000" w:themeColor="text1"/>
          <w:sz w:val="22"/>
        </w:rPr>
        <w:t xml:space="preserve">des trains </w:t>
      </w:r>
      <w:r w:rsidRPr="007258E4">
        <w:rPr>
          <w:rFonts w:ascii="Times New Roman" w:hAnsi="Times New Roman" w:cs="Times New Roman"/>
          <w:b/>
          <w:bCs/>
          <w:color w:val="000000" w:themeColor="text1"/>
          <w:sz w:val="22"/>
        </w:rPr>
        <w:t>(en %)</w:t>
      </w:r>
    </w:p>
    <w:p w14:paraId="7512824D" w14:textId="3155E474" w:rsidR="000013AD" w:rsidRPr="007258E4" w:rsidRDefault="000013AD" w:rsidP="007258E4">
      <w:pPr>
        <w:keepNext/>
        <w:jc w:val="both"/>
        <w:rPr>
          <w:rFonts w:ascii="Times New Roman" w:hAnsi="Times New Roman" w:cs="Times New Roman"/>
          <w:bCs/>
          <w:color w:val="000000" w:themeColor="text1"/>
        </w:rPr>
      </w:pPr>
      <w:r w:rsidRPr="007258E4">
        <w:rPr>
          <w:rFonts w:ascii="Times New Roman" w:hAnsi="Times New Roman" w:cs="Times New Roman"/>
          <w:bCs/>
          <w:color w:val="000000" w:themeColor="text1"/>
        </w:rPr>
        <w:drawing>
          <wp:inline distT="0" distB="0" distL="0" distR="0" wp14:anchorId="4729F588" wp14:editId="2E88F604">
            <wp:extent cx="5756910" cy="3783060"/>
            <wp:effectExtent l="0" t="0" r="8890" b="1905"/>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DE932F1" w14:textId="77777777" w:rsidR="000013AD" w:rsidRPr="007258E4" w:rsidRDefault="000013AD" w:rsidP="00F17F60">
      <w:pPr>
        <w:jc w:val="both"/>
        <w:rPr>
          <w:rFonts w:ascii="Times New Roman" w:hAnsi="Times New Roman" w:cs="Times New Roman"/>
          <w:bCs/>
          <w:color w:val="000000" w:themeColor="text1"/>
        </w:rPr>
      </w:pPr>
    </w:p>
    <w:p w14:paraId="59D4C83E" w14:textId="77777777" w:rsidR="000B0854" w:rsidRPr="007258E4" w:rsidRDefault="000B0854" w:rsidP="000B0854">
      <w:pPr>
        <w:jc w:val="both"/>
        <w:rPr>
          <w:rFonts w:ascii="Times New Roman" w:hAnsi="Times New Roman" w:cs="Times New Roman"/>
          <w:bCs/>
          <w:color w:val="000000" w:themeColor="text1"/>
        </w:rPr>
      </w:pPr>
      <w:r w:rsidRPr="007258E4">
        <w:rPr>
          <w:rFonts w:ascii="Times New Roman" w:hAnsi="Times New Roman" w:cs="Times New Roman"/>
          <w:bCs/>
          <w:color w:val="000000" w:themeColor="text1"/>
        </w:rPr>
        <w:t>La satisfaction à l’égard de la ponctualité s’est singulièrement dégradée en Europe (mais pas en France). En 2011, seule la Pologne voyait une majorité de répondants insatisfaits. En 2013, 36 % seulement des Polonais se déclarent satisfaits, mais aussi 42 % des Italiens et 48 % des Allemands. Avec 57 % de satisfaits (55 % en 2011), la France se classe au 11</w:t>
      </w:r>
      <w:r w:rsidRPr="007258E4">
        <w:rPr>
          <w:rFonts w:ascii="Times New Roman" w:hAnsi="Times New Roman" w:cs="Times New Roman"/>
          <w:bCs/>
          <w:color w:val="000000" w:themeColor="text1"/>
          <w:vertAlign w:val="superscript"/>
        </w:rPr>
        <w:t>ème</w:t>
      </w:r>
      <w:r w:rsidRPr="007258E4">
        <w:rPr>
          <w:rFonts w:ascii="Times New Roman" w:hAnsi="Times New Roman" w:cs="Times New Roman"/>
          <w:bCs/>
          <w:color w:val="000000" w:themeColor="text1"/>
        </w:rPr>
        <w:t xml:space="preserve"> rang (21</w:t>
      </w:r>
      <w:r w:rsidRPr="007258E4">
        <w:rPr>
          <w:rFonts w:ascii="Times New Roman" w:hAnsi="Times New Roman" w:cs="Times New Roman"/>
          <w:bCs/>
          <w:color w:val="000000" w:themeColor="text1"/>
          <w:vertAlign w:val="superscript"/>
        </w:rPr>
        <w:t>ème</w:t>
      </w:r>
      <w:r w:rsidRPr="007258E4">
        <w:rPr>
          <w:rFonts w:ascii="Times New Roman" w:hAnsi="Times New Roman" w:cs="Times New Roman"/>
          <w:bCs/>
          <w:color w:val="000000" w:themeColor="text1"/>
        </w:rPr>
        <w:t xml:space="preserve"> en 2011). Si on classe les répondants en fonction des « très satisfaits », alors, comme souvent, la position de la France est plus défavorable. Cette dégradation générale de la ponctualité, entre les deux enquêtes, est peut-être à imputer à l’intégration des voyages en trains de banlieue dans le périmètre des questions.</w:t>
      </w:r>
    </w:p>
    <w:p w14:paraId="5312CE9C" w14:textId="77777777" w:rsidR="000B0854" w:rsidRPr="007258E4" w:rsidRDefault="000B0854" w:rsidP="00F17F60">
      <w:pPr>
        <w:jc w:val="both"/>
        <w:rPr>
          <w:rFonts w:ascii="Times New Roman" w:hAnsi="Times New Roman" w:cs="Times New Roman"/>
          <w:bCs/>
          <w:color w:val="000000" w:themeColor="text1"/>
        </w:rPr>
      </w:pPr>
    </w:p>
    <w:p w14:paraId="0B1DA785" w14:textId="14094A4C" w:rsidR="000013AD" w:rsidRPr="007258E4" w:rsidRDefault="000013AD" w:rsidP="007258E4">
      <w:pPr>
        <w:keepNext/>
        <w:jc w:val="both"/>
        <w:rPr>
          <w:rFonts w:ascii="Times New Roman" w:hAnsi="Times New Roman" w:cs="Times New Roman"/>
          <w:b/>
          <w:bCs/>
          <w:color w:val="000000" w:themeColor="text1"/>
          <w:sz w:val="22"/>
        </w:rPr>
      </w:pPr>
      <w:r w:rsidRPr="007258E4">
        <w:rPr>
          <w:rFonts w:ascii="Times New Roman" w:hAnsi="Times New Roman" w:cs="Times New Roman"/>
          <w:b/>
          <w:bCs/>
          <w:color w:val="000000" w:themeColor="text1"/>
          <w:sz w:val="22"/>
        </w:rPr>
        <w:t>Satisfaction à l'égard des trains en ce qui concerne</w:t>
      </w:r>
      <w:r w:rsidR="000B0854" w:rsidRPr="007258E4">
        <w:rPr>
          <w:rFonts w:ascii="Times New Roman" w:hAnsi="Times New Roman" w:cs="Times New Roman"/>
          <w:b/>
          <w:bCs/>
          <w:color w:val="000000" w:themeColor="text1"/>
          <w:sz w:val="22"/>
        </w:rPr>
        <w:t xml:space="preserve"> </w:t>
      </w:r>
      <w:r w:rsidRPr="007258E4">
        <w:rPr>
          <w:rFonts w:ascii="Times New Roman" w:hAnsi="Times New Roman" w:cs="Times New Roman"/>
          <w:b/>
          <w:bCs/>
          <w:color w:val="000000" w:themeColor="text1"/>
          <w:sz w:val="22"/>
        </w:rPr>
        <w:t>la ponctualité et la fiabilité (en %)</w:t>
      </w:r>
    </w:p>
    <w:p w14:paraId="7CB95FE7" w14:textId="3EDDC6DD" w:rsidR="000013AD" w:rsidRPr="007258E4" w:rsidRDefault="000013AD" w:rsidP="007258E4">
      <w:pPr>
        <w:keepNext/>
        <w:jc w:val="both"/>
        <w:rPr>
          <w:rFonts w:ascii="Times New Roman" w:hAnsi="Times New Roman" w:cs="Times New Roman"/>
          <w:bCs/>
          <w:color w:val="000000" w:themeColor="text1"/>
        </w:rPr>
      </w:pPr>
      <w:r w:rsidRPr="007258E4">
        <w:rPr>
          <w:rFonts w:ascii="Times New Roman" w:hAnsi="Times New Roman" w:cs="Times New Roman"/>
          <w:bCs/>
          <w:color w:val="000000" w:themeColor="text1"/>
        </w:rPr>
        <w:drawing>
          <wp:inline distT="0" distB="0" distL="0" distR="0" wp14:anchorId="5D22F27C" wp14:editId="437411F6">
            <wp:extent cx="5756910" cy="3783060"/>
            <wp:effectExtent l="0" t="0" r="8890" b="1905"/>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6F9CA92" w14:textId="77777777" w:rsidR="000013AD" w:rsidRPr="007258E4" w:rsidRDefault="000013AD" w:rsidP="00F17F60">
      <w:pPr>
        <w:jc w:val="both"/>
        <w:rPr>
          <w:rFonts w:ascii="Times New Roman" w:hAnsi="Times New Roman" w:cs="Times New Roman"/>
          <w:bCs/>
          <w:color w:val="000000" w:themeColor="text1"/>
        </w:rPr>
      </w:pPr>
    </w:p>
    <w:p w14:paraId="3383B0D9" w14:textId="77777777" w:rsidR="000B0854" w:rsidRPr="007258E4" w:rsidRDefault="000B0854" w:rsidP="000B0854">
      <w:pPr>
        <w:jc w:val="both"/>
        <w:rPr>
          <w:rFonts w:ascii="Times New Roman" w:hAnsi="Times New Roman" w:cs="Times New Roman"/>
          <w:bCs/>
          <w:color w:val="000000" w:themeColor="text1"/>
        </w:rPr>
      </w:pPr>
      <w:r w:rsidRPr="007258E4">
        <w:rPr>
          <w:rFonts w:ascii="Times New Roman" w:hAnsi="Times New Roman" w:cs="Times New Roman"/>
          <w:bCs/>
          <w:color w:val="000000" w:themeColor="text1"/>
        </w:rPr>
        <w:t>L’information dans les trains est jugée très négativement en France, comme en 2011. Avec seulement 43 % de satisfaits (45 % en 2011), les voyageurs français se placent au 16</w:t>
      </w:r>
      <w:r w:rsidRPr="007258E4">
        <w:rPr>
          <w:rFonts w:ascii="Times New Roman" w:hAnsi="Times New Roman" w:cs="Times New Roman"/>
          <w:bCs/>
          <w:color w:val="000000" w:themeColor="text1"/>
          <w:vertAlign w:val="superscript"/>
        </w:rPr>
        <w:t>ème</w:t>
      </w:r>
      <w:r w:rsidRPr="007258E4">
        <w:rPr>
          <w:rFonts w:ascii="Times New Roman" w:hAnsi="Times New Roman" w:cs="Times New Roman"/>
          <w:bCs/>
          <w:color w:val="000000" w:themeColor="text1"/>
        </w:rPr>
        <w:t xml:space="preserve"> rang européen (24</w:t>
      </w:r>
      <w:r w:rsidRPr="007258E4">
        <w:rPr>
          <w:rFonts w:ascii="Times New Roman" w:hAnsi="Times New Roman" w:cs="Times New Roman"/>
          <w:bCs/>
          <w:color w:val="000000" w:themeColor="text1"/>
          <w:vertAlign w:val="superscript"/>
        </w:rPr>
        <w:t>ème</w:t>
      </w:r>
      <w:r w:rsidRPr="007258E4">
        <w:rPr>
          <w:rFonts w:ascii="Times New Roman" w:hAnsi="Times New Roman" w:cs="Times New Roman"/>
          <w:bCs/>
          <w:color w:val="000000" w:themeColor="text1"/>
        </w:rPr>
        <w:t xml:space="preserve"> en 2011). C’est en France que l’on trouve le plus d’insatisfaits et de très mécontents (47 %). En 2011 c’était en Pologne. Si l’on se centre sur les très mécontents, la France est avant-dernière, devant tout de même les Italiens, mais à égalité avec les Bulgares.</w:t>
      </w:r>
    </w:p>
    <w:p w14:paraId="5E244C59" w14:textId="77777777" w:rsidR="000B0854" w:rsidRPr="007258E4" w:rsidRDefault="000B0854" w:rsidP="00F17F60">
      <w:pPr>
        <w:jc w:val="both"/>
        <w:rPr>
          <w:rFonts w:ascii="Times New Roman" w:hAnsi="Times New Roman" w:cs="Times New Roman"/>
          <w:bCs/>
          <w:color w:val="000000" w:themeColor="text1"/>
        </w:rPr>
      </w:pPr>
    </w:p>
    <w:p w14:paraId="236A6DDA" w14:textId="42387B4F" w:rsidR="000013AD" w:rsidRPr="007258E4" w:rsidRDefault="000013AD" w:rsidP="007258E4">
      <w:pPr>
        <w:keepNext/>
        <w:jc w:val="both"/>
        <w:rPr>
          <w:rFonts w:ascii="Times New Roman" w:hAnsi="Times New Roman" w:cs="Times New Roman"/>
          <w:b/>
          <w:bCs/>
          <w:color w:val="000000" w:themeColor="text1"/>
          <w:sz w:val="22"/>
        </w:rPr>
      </w:pPr>
      <w:r w:rsidRPr="007258E4">
        <w:rPr>
          <w:rFonts w:ascii="Times New Roman" w:hAnsi="Times New Roman" w:cs="Times New Roman"/>
          <w:b/>
          <w:bCs/>
          <w:color w:val="000000" w:themeColor="text1"/>
          <w:sz w:val="22"/>
        </w:rPr>
        <w:t>Satisfaction à l'égard</w:t>
      </w:r>
      <w:r w:rsidR="000B0854" w:rsidRPr="007258E4">
        <w:rPr>
          <w:rFonts w:ascii="Times New Roman" w:hAnsi="Times New Roman" w:cs="Times New Roman"/>
          <w:b/>
          <w:bCs/>
          <w:color w:val="000000" w:themeColor="text1"/>
          <w:sz w:val="22"/>
        </w:rPr>
        <w:t xml:space="preserve"> des trains en ce qui concerne </w:t>
      </w:r>
      <w:r w:rsidRPr="007258E4">
        <w:rPr>
          <w:rFonts w:ascii="Times New Roman" w:hAnsi="Times New Roman" w:cs="Times New Roman"/>
          <w:b/>
          <w:bCs/>
          <w:color w:val="000000" w:themeColor="text1"/>
          <w:sz w:val="22"/>
        </w:rPr>
        <w:t>les informations durant le trajet, notamment en cas de retard</w:t>
      </w:r>
      <w:r w:rsidR="000B0854" w:rsidRPr="007258E4">
        <w:rPr>
          <w:rFonts w:ascii="Times New Roman" w:hAnsi="Times New Roman" w:cs="Times New Roman"/>
          <w:b/>
          <w:bCs/>
          <w:color w:val="000000" w:themeColor="text1"/>
          <w:sz w:val="22"/>
        </w:rPr>
        <w:t xml:space="preserve"> </w:t>
      </w:r>
      <w:r w:rsidRPr="007258E4">
        <w:rPr>
          <w:rFonts w:ascii="Times New Roman" w:hAnsi="Times New Roman" w:cs="Times New Roman"/>
          <w:b/>
          <w:bCs/>
          <w:color w:val="000000" w:themeColor="text1"/>
          <w:sz w:val="22"/>
        </w:rPr>
        <w:t>(en %)</w:t>
      </w:r>
    </w:p>
    <w:p w14:paraId="62E35575" w14:textId="269462E4" w:rsidR="000013AD" w:rsidRPr="007258E4" w:rsidRDefault="000013AD" w:rsidP="007258E4">
      <w:pPr>
        <w:keepNext/>
        <w:jc w:val="both"/>
        <w:rPr>
          <w:rFonts w:ascii="Times New Roman" w:hAnsi="Times New Roman" w:cs="Times New Roman"/>
          <w:bCs/>
          <w:color w:val="000000" w:themeColor="text1"/>
        </w:rPr>
      </w:pPr>
      <w:r w:rsidRPr="007258E4">
        <w:rPr>
          <w:rFonts w:ascii="Times New Roman" w:hAnsi="Times New Roman" w:cs="Times New Roman"/>
          <w:bCs/>
          <w:color w:val="000000" w:themeColor="text1"/>
        </w:rPr>
        <w:drawing>
          <wp:inline distT="0" distB="0" distL="0" distR="0" wp14:anchorId="25A29441" wp14:editId="0BDF6EAD">
            <wp:extent cx="5756910" cy="3783060"/>
            <wp:effectExtent l="0" t="0" r="8890" b="1905"/>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5233241" w14:textId="77777777" w:rsidR="000B0854" w:rsidRPr="007258E4" w:rsidRDefault="000B0854" w:rsidP="000B0854">
      <w:pPr>
        <w:jc w:val="both"/>
        <w:rPr>
          <w:rFonts w:ascii="Times New Roman" w:hAnsi="Times New Roman" w:cs="Times New Roman"/>
          <w:bCs/>
          <w:color w:val="000000" w:themeColor="text1"/>
        </w:rPr>
      </w:pPr>
      <w:r w:rsidRPr="007258E4">
        <w:rPr>
          <w:rFonts w:ascii="Times New Roman" w:hAnsi="Times New Roman" w:cs="Times New Roman"/>
          <w:bCs/>
          <w:color w:val="000000" w:themeColor="text1"/>
        </w:rPr>
        <w:t>Avec, au sujet de la propreté, 64 % de satisfaits (65 % en 2011), la France se classe au 7</w:t>
      </w:r>
      <w:r w:rsidRPr="007258E4">
        <w:rPr>
          <w:rFonts w:ascii="Times New Roman" w:hAnsi="Times New Roman" w:cs="Times New Roman"/>
          <w:bCs/>
          <w:color w:val="000000" w:themeColor="text1"/>
          <w:vertAlign w:val="superscript"/>
        </w:rPr>
        <w:t>ème</w:t>
      </w:r>
      <w:r w:rsidRPr="007258E4">
        <w:rPr>
          <w:rFonts w:ascii="Times New Roman" w:hAnsi="Times New Roman" w:cs="Times New Roman"/>
          <w:bCs/>
          <w:color w:val="000000" w:themeColor="text1"/>
        </w:rPr>
        <w:t xml:space="preserve"> rang européen. Trois pays se distinguent par le haut : Finlande, Irlande, Royaume-Uni. Dans cinq pays, à l’inverse, le niveau de satisfaction est inférieur à 30 % : Bulgarie, Roumanie, Italie, Pologne, Grèce. Ce classement sur le thème de la propreté est assez similaire, en termes de positionnement des pays aux deux extrêmes, aux autres classements thématiques. </w:t>
      </w:r>
    </w:p>
    <w:p w14:paraId="6072BBD6" w14:textId="77777777" w:rsidR="000013AD" w:rsidRPr="007258E4" w:rsidRDefault="000013AD" w:rsidP="00F17F60">
      <w:pPr>
        <w:jc w:val="both"/>
        <w:rPr>
          <w:rFonts w:ascii="Times New Roman" w:hAnsi="Times New Roman" w:cs="Times New Roman"/>
          <w:bCs/>
          <w:color w:val="000000" w:themeColor="text1"/>
        </w:rPr>
      </w:pPr>
    </w:p>
    <w:p w14:paraId="4BBD9158" w14:textId="4E6FFFDA" w:rsidR="000013AD" w:rsidRPr="007258E4" w:rsidRDefault="000013AD" w:rsidP="007258E4">
      <w:pPr>
        <w:keepNext/>
        <w:jc w:val="both"/>
        <w:rPr>
          <w:rFonts w:ascii="Times New Roman" w:hAnsi="Times New Roman" w:cs="Times New Roman"/>
          <w:b/>
          <w:bCs/>
          <w:color w:val="000000" w:themeColor="text1"/>
          <w:sz w:val="22"/>
        </w:rPr>
      </w:pPr>
      <w:r w:rsidRPr="007258E4">
        <w:rPr>
          <w:rFonts w:ascii="Times New Roman" w:hAnsi="Times New Roman" w:cs="Times New Roman"/>
          <w:b/>
          <w:bCs/>
          <w:color w:val="000000" w:themeColor="text1"/>
          <w:sz w:val="22"/>
        </w:rPr>
        <w:t>Satisfaction à l'égard</w:t>
      </w:r>
      <w:r w:rsidR="007258E4" w:rsidRPr="007258E4">
        <w:rPr>
          <w:rFonts w:ascii="Times New Roman" w:hAnsi="Times New Roman" w:cs="Times New Roman"/>
          <w:b/>
          <w:bCs/>
          <w:color w:val="000000" w:themeColor="text1"/>
          <w:sz w:val="22"/>
        </w:rPr>
        <w:t xml:space="preserve"> des trains en ce qui concerne </w:t>
      </w:r>
      <w:r w:rsidRPr="007258E4">
        <w:rPr>
          <w:rFonts w:ascii="Times New Roman" w:hAnsi="Times New Roman" w:cs="Times New Roman"/>
          <w:b/>
          <w:bCs/>
          <w:color w:val="000000" w:themeColor="text1"/>
          <w:sz w:val="22"/>
        </w:rPr>
        <w:t>la propreté, l’entretien, les toilettes (en %)</w:t>
      </w:r>
    </w:p>
    <w:p w14:paraId="5BAEE039" w14:textId="638AB312" w:rsidR="000013AD" w:rsidRPr="007258E4" w:rsidRDefault="000013AD" w:rsidP="007258E4">
      <w:pPr>
        <w:keepNext/>
        <w:jc w:val="both"/>
        <w:rPr>
          <w:rFonts w:ascii="Times New Roman" w:hAnsi="Times New Roman" w:cs="Times New Roman"/>
          <w:bCs/>
          <w:color w:val="000000" w:themeColor="text1"/>
        </w:rPr>
      </w:pPr>
      <w:r w:rsidRPr="007258E4">
        <w:rPr>
          <w:rFonts w:ascii="Times New Roman" w:hAnsi="Times New Roman" w:cs="Times New Roman"/>
          <w:bCs/>
          <w:color w:val="000000" w:themeColor="text1"/>
        </w:rPr>
        <w:drawing>
          <wp:inline distT="0" distB="0" distL="0" distR="0" wp14:anchorId="5B049447" wp14:editId="15A5A8AF">
            <wp:extent cx="5756910" cy="3783060"/>
            <wp:effectExtent l="0" t="0" r="8890" b="1905"/>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EDCC392" w14:textId="77777777" w:rsidR="000013AD" w:rsidRPr="007258E4" w:rsidRDefault="000013AD" w:rsidP="00F17F60">
      <w:pPr>
        <w:jc w:val="both"/>
        <w:rPr>
          <w:rFonts w:ascii="Times New Roman" w:hAnsi="Times New Roman" w:cs="Times New Roman"/>
          <w:bCs/>
          <w:color w:val="000000" w:themeColor="text1"/>
        </w:rPr>
      </w:pPr>
    </w:p>
    <w:p w14:paraId="7FCD8ADC" w14:textId="7E038695" w:rsidR="000B0854" w:rsidRPr="007258E4" w:rsidRDefault="000B0854" w:rsidP="000B0854">
      <w:pPr>
        <w:jc w:val="both"/>
        <w:rPr>
          <w:rFonts w:ascii="Times New Roman" w:hAnsi="Times New Roman" w:cs="Times New Roman"/>
          <w:bCs/>
          <w:color w:val="000000" w:themeColor="text1"/>
        </w:rPr>
      </w:pPr>
      <w:r w:rsidRPr="007258E4">
        <w:rPr>
          <w:rFonts w:ascii="Times New Roman" w:hAnsi="Times New Roman" w:cs="Times New Roman"/>
          <w:bCs/>
          <w:color w:val="000000" w:themeColor="text1"/>
        </w:rPr>
        <w:t>Pour ce qui relève de la disponibilité du personnel à bord, avec, au total, 64 % de satisfaits (63 % en 2011), la France se classe au 5</w:t>
      </w:r>
      <w:r w:rsidRPr="007258E4">
        <w:rPr>
          <w:rFonts w:ascii="Times New Roman" w:hAnsi="Times New Roman" w:cs="Times New Roman"/>
          <w:bCs/>
          <w:color w:val="000000" w:themeColor="text1"/>
          <w:vertAlign w:val="superscript"/>
        </w:rPr>
        <w:t>ème</w:t>
      </w:r>
      <w:r w:rsidRPr="007258E4">
        <w:rPr>
          <w:rFonts w:ascii="Times New Roman" w:hAnsi="Times New Roman" w:cs="Times New Roman"/>
          <w:bCs/>
          <w:color w:val="000000" w:themeColor="text1"/>
        </w:rPr>
        <w:t xml:space="preserve"> rang européen, ex-aequo avec le Royaume-Uni. Comme pour la plupart des questions, la proportion des très satisfaits classe plus défavorablement la France. En termes de satisfaction globale, sur ce plan de la disponibilité du personnel, la Belgique et la Finlande sont en tête ; la Grèce et l’Estonie en queue de peloton. Bien entendu ces appréciations sont fonction des niveaux d’attente, des niveaux d’offre et des habitudes plus générales en termes de service. </w:t>
      </w:r>
    </w:p>
    <w:p w14:paraId="0B551BED" w14:textId="77777777" w:rsidR="000B0854" w:rsidRPr="007258E4" w:rsidRDefault="000B0854" w:rsidP="00F17F60">
      <w:pPr>
        <w:jc w:val="both"/>
        <w:rPr>
          <w:rFonts w:ascii="Times New Roman" w:hAnsi="Times New Roman" w:cs="Times New Roman"/>
          <w:bCs/>
          <w:color w:val="000000" w:themeColor="text1"/>
        </w:rPr>
      </w:pPr>
    </w:p>
    <w:p w14:paraId="386BDC91" w14:textId="37BDA3C9" w:rsidR="000013AD" w:rsidRPr="007258E4" w:rsidRDefault="000013AD" w:rsidP="007258E4">
      <w:pPr>
        <w:keepNext/>
        <w:jc w:val="both"/>
        <w:rPr>
          <w:rFonts w:ascii="Times New Roman" w:hAnsi="Times New Roman" w:cs="Times New Roman"/>
          <w:b/>
          <w:bCs/>
          <w:color w:val="000000" w:themeColor="text1"/>
          <w:sz w:val="22"/>
        </w:rPr>
      </w:pPr>
      <w:r w:rsidRPr="007258E4">
        <w:rPr>
          <w:rFonts w:ascii="Times New Roman" w:hAnsi="Times New Roman" w:cs="Times New Roman"/>
          <w:b/>
          <w:bCs/>
          <w:color w:val="000000" w:themeColor="text1"/>
          <w:sz w:val="22"/>
        </w:rPr>
        <w:t>Satisfaction à l'égard</w:t>
      </w:r>
      <w:r w:rsidR="000B0854" w:rsidRPr="007258E4">
        <w:rPr>
          <w:rFonts w:ascii="Times New Roman" w:hAnsi="Times New Roman" w:cs="Times New Roman"/>
          <w:b/>
          <w:bCs/>
          <w:color w:val="000000" w:themeColor="text1"/>
          <w:sz w:val="22"/>
        </w:rPr>
        <w:t xml:space="preserve"> des trains en ce qui concerne </w:t>
      </w:r>
      <w:r w:rsidRPr="007258E4">
        <w:rPr>
          <w:rFonts w:ascii="Times New Roman" w:hAnsi="Times New Roman" w:cs="Times New Roman"/>
          <w:b/>
          <w:bCs/>
          <w:color w:val="000000" w:themeColor="text1"/>
          <w:sz w:val="22"/>
        </w:rPr>
        <w:t>la disponibilité du personnel (en %)</w:t>
      </w:r>
    </w:p>
    <w:p w14:paraId="1B255037" w14:textId="74E59D4E" w:rsidR="000013AD" w:rsidRPr="007258E4" w:rsidRDefault="000013AD" w:rsidP="007258E4">
      <w:pPr>
        <w:keepNext/>
        <w:jc w:val="both"/>
        <w:rPr>
          <w:rFonts w:ascii="Times New Roman" w:hAnsi="Times New Roman" w:cs="Times New Roman"/>
          <w:bCs/>
          <w:color w:val="000000" w:themeColor="text1"/>
        </w:rPr>
      </w:pPr>
      <w:r w:rsidRPr="007258E4">
        <w:rPr>
          <w:rFonts w:ascii="Times New Roman" w:hAnsi="Times New Roman" w:cs="Times New Roman"/>
          <w:bCs/>
          <w:color w:val="000000" w:themeColor="text1"/>
        </w:rPr>
        <w:drawing>
          <wp:inline distT="0" distB="0" distL="0" distR="0" wp14:anchorId="27D0A0F7" wp14:editId="01412573">
            <wp:extent cx="5756910" cy="3783060"/>
            <wp:effectExtent l="0" t="0" r="8890" b="1905"/>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0ABD198" w14:textId="71EC2C01" w:rsidR="00451340" w:rsidRPr="007258E4" w:rsidRDefault="00451340" w:rsidP="00451340">
      <w:pPr>
        <w:jc w:val="both"/>
        <w:rPr>
          <w:rFonts w:ascii="Times New Roman" w:hAnsi="Times New Roman" w:cs="Times New Roman"/>
          <w:bCs/>
          <w:color w:val="000000" w:themeColor="text1"/>
        </w:rPr>
      </w:pPr>
      <w:r w:rsidRPr="007258E4">
        <w:rPr>
          <w:rFonts w:ascii="Times New Roman" w:hAnsi="Times New Roman" w:cs="Times New Roman"/>
          <w:bCs/>
          <w:color w:val="000000" w:themeColor="text1"/>
        </w:rPr>
        <w:t>Comme pour les gares (65 %), c’est au Royaume-Uni que l’on trouve le plus haut taux de satisfaction en ce qui concerne l’accessibilité aux personnes handicapées pour les trains (63 %). À l’autre extrême, on trouve encore la Croatie, la Bulgarie et l’Estonie, mais aussi l’Italie. La France, avec un taux de 49 % se place au 6</w:t>
      </w:r>
      <w:r w:rsidRPr="007258E4">
        <w:rPr>
          <w:rFonts w:ascii="Times New Roman" w:hAnsi="Times New Roman" w:cs="Times New Roman"/>
          <w:bCs/>
          <w:color w:val="000000" w:themeColor="text1"/>
          <w:vertAlign w:val="superscript"/>
        </w:rPr>
        <w:t>ème</w:t>
      </w:r>
      <w:r w:rsidRPr="007258E4">
        <w:rPr>
          <w:rFonts w:ascii="Times New Roman" w:hAnsi="Times New Roman" w:cs="Times New Roman"/>
          <w:bCs/>
          <w:color w:val="000000" w:themeColor="text1"/>
        </w:rPr>
        <w:t xml:space="preserve"> rang européen (9</w:t>
      </w:r>
      <w:r w:rsidRPr="007258E4">
        <w:rPr>
          <w:rFonts w:ascii="Times New Roman" w:hAnsi="Times New Roman" w:cs="Times New Roman"/>
          <w:bCs/>
          <w:color w:val="000000" w:themeColor="text1"/>
          <w:vertAlign w:val="superscript"/>
        </w:rPr>
        <w:t>ème</w:t>
      </w:r>
      <w:r w:rsidRPr="007258E4">
        <w:rPr>
          <w:rFonts w:ascii="Times New Roman" w:hAnsi="Times New Roman" w:cs="Times New Roman"/>
          <w:bCs/>
          <w:color w:val="000000" w:themeColor="text1"/>
        </w:rPr>
        <w:t xml:space="preserve"> rang pour les gares). </w:t>
      </w:r>
    </w:p>
    <w:p w14:paraId="695919F9" w14:textId="77777777" w:rsidR="000013AD" w:rsidRPr="007258E4" w:rsidRDefault="000013AD" w:rsidP="00F17F60">
      <w:pPr>
        <w:jc w:val="both"/>
        <w:rPr>
          <w:rFonts w:ascii="Times New Roman" w:hAnsi="Times New Roman" w:cs="Times New Roman"/>
          <w:bCs/>
          <w:color w:val="000000" w:themeColor="text1"/>
        </w:rPr>
      </w:pPr>
    </w:p>
    <w:p w14:paraId="5AB58A0A" w14:textId="52B0C13B" w:rsidR="000013AD" w:rsidRPr="007258E4" w:rsidRDefault="000013AD" w:rsidP="007258E4">
      <w:pPr>
        <w:keepNext/>
        <w:jc w:val="both"/>
        <w:rPr>
          <w:rFonts w:ascii="Times New Roman" w:hAnsi="Times New Roman" w:cs="Times New Roman"/>
          <w:b/>
          <w:bCs/>
          <w:color w:val="000000" w:themeColor="text1"/>
          <w:sz w:val="22"/>
        </w:rPr>
      </w:pPr>
      <w:r w:rsidRPr="007258E4">
        <w:rPr>
          <w:rFonts w:ascii="Times New Roman" w:hAnsi="Times New Roman" w:cs="Times New Roman"/>
          <w:b/>
          <w:bCs/>
          <w:color w:val="000000" w:themeColor="text1"/>
          <w:sz w:val="22"/>
        </w:rPr>
        <w:t>Satisfaction à l'égard</w:t>
      </w:r>
      <w:r w:rsidR="00451340" w:rsidRPr="007258E4">
        <w:rPr>
          <w:rFonts w:ascii="Times New Roman" w:hAnsi="Times New Roman" w:cs="Times New Roman"/>
          <w:b/>
          <w:bCs/>
          <w:color w:val="000000" w:themeColor="text1"/>
          <w:sz w:val="22"/>
        </w:rPr>
        <w:t xml:space="preserve"> des trains en ce qui concerne </w:t>
      </w:r>
      <w:r w:rsidRPr="007258E4">
        <w:rPr>
          <w:rFonts w:ascii="Times New Roman" w:hAnsi="Times New Roman" w:cs="Times New Roman"/>
          <w:b/>
          <w:bCs/>
          <w:color w:val="000000" w:themeColor="text1"/>
          <w:sz w:val="22"/>
        </w:rPr>
        <w:t>l’accessibilité pour les personnes handicapées (en %)</w:t>
      </w:r>
    </w:p>
    <w:p w14:paraId="3BDD0B4C" w14:textId="54A47238" w:rsidR="000013AD" w:rsidRPr="007258E4" w:rsidRDefault="000013AD" w:rsidP="007258E4">
      <w:pPr>
        <w:keepNext/>
        <w:jc w:val="both"/>
        <w:rPr>
          <w:rFonts w:ascii="Times New Roman" w:hAnsi="Times New Roman" w:cs="Times New Roman"/>
          <w:bCs/>
          <w:color w:val="000000" w:themeColor="text1"/>
        </w:rPr>
      </w:pPr>
      <w:r w:rsidRPr="007258E4">
        <w:rPr>
          <w:rFonts w:ascii="Times New Roman" w:hAnsi="Times New Roman" w:cs="Times New Roman"/>
          <w:bCs/>
          <w:color w:val="000000" w:themeColor="text1"/>
        </w:rPr>
        <w:drawing>
          <wp:inline distT="0" distB="0" distL="0" distR="0" wp14:anchorId="43BEB55F" wp14:editId="61F1C8F3">
            <wp:extent cx="5756910" cy="3783060"/>
            <wp:effectExtent l="0" t="0" r="8890" b="1905"/>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3DAD3A5" w14:textId="77777777" w:rsidR="000013AD" w:rsidRPr="007258E4" w:rsidRDefault="000013AD" w:rsidP="00F17F60">
      <w:pPr>
        <w:jc w:val="both"/>
        <w:rPr>
          <w:rFonts w:ascii="Times New Roman" w:hAnsi="Times New Roman" w:cs="Times New Roman"/>
          <w:bCs/>
          <w:color w:val="000000" w:themeColor="text1"/>
        </w:rPr>
      </w:pPr>
    </w:p>
    <w:p w14:paraId="0CF497B6" w14:textId="4048C5E5" w:rsidR="00451340" w:rsidRPr="007258E4" w:rsidRDefault="00451340" w:rsidP="00451340">
      <w:pPr>
        <w:jc w:val="both"/>
        <w:rPr>
          <w:rFonts w:ascii="Times New Roman" w:hAnsi="Times New Roman" w:cs="Times New Roman"/>
          <w:bCs/>
          <w:color w:val="000000" w:themeColor="text1"/>
        </w:rPr>
      </w:pPr>
      <w:r w:rsidRPr="007258E4">
        <w:rPr>
          <w:rFonts w:ascii="Times New Roman" w:hAnsi="Times New Roman" w:cs="Times New Roman"/>
          <w:bCs/>
          <w:color w:val="000000" w:themeColor="text1"/>
        </w:rPr>
        <w:t>Au total, les Français apprécient leurs trains, mais un tout petit peu moins que leurs gares. Avec un indice global de satisfaction de 66 %, la France se classe au 8ème rang européen (4ème pour les gares), derrière, notamment, la Finlande (79 %), le Royaume-Uni (75 %), la Belgique (69 %). Comme pour les gares, cependant, c’est en France que l’on trouve la plus petite proportion de faiblement insatisfaits (11 %). L’indice synthétique de satisfaction est « élevé » si les répondants sont satisfaits de six éléments de satisfaction, « bon » pour cinq éléments, « moyen » pour trois, et « faible » pour un ou zéro.</w:t>
      </w:r>
    </w:p>
    <w:p w14:paraId="1E88A21C" w14:textId="77777777" w:rsidR="00451340" w:rsidRPr="007258E4" w:rsidRDefault="00451340" w:rsidP="00F17F60">
      <w:pPr>
        <w:jc w:val="both"/>
        <w:rPr>
          <w:rFonts w:ascii="Times New Roman" w:hAnsi="Times New Roman" w:cs="Times New Roman"/>
          <w:b/>
          <w:bCs/>
          <w:color w:val="000000" w:themeColor="text1"/>
          <w:sz w:val="22"/>
        </w:rPr>
      </w:pPr>
    </w:p>
    <w:p w14:paraId="70FEAC61" w14:textId="5BBBCE97" w:rsidR="000013AD" w:rsidRPr="007258E4" w:rsidRDefault="000013AD" w:rsidP="007258E4">
      <w:pPr>
        <w:keepNext/>
        <w:jc w:val="both"/>
        <w:rPr>
          <w:rFonts w:ascii="Times New Roman" w:hAnsi="Times New Roman" w:cs="Times New Roman"/>
          <w:b/>
          <w:bCs/>
          <w:color w:val="000000" w:themeColor="text1"/>
          <w:sz w:val="22"/>
        </w:rPr>
      </w:pPr>
      <w:r w:rsidRPr="007258E4">
        <w:rPr>
          <w:rFonts w:ascii="Times New Roman" w:hAnsi="Times New Roman" w:cs="Times New Roman"/>
          <w:b/>
          <w:bCs/>
          <w:color w:val="000000" w:themeColor="text1"/>
          <w:sz w:val="22"/>
        </w:rPr>
        <w:t>Indice synthétique de satisfaction à l’égard des trains (en %)</w:t>
      </w:r>
    </w:p>
    <w:p w14:paraId="4F718A52" w14:textId="6472DEA2" w:rsidR="000013AD" w:rsidRPr="007258E4" w:rsidRDefault="000013AD" w:rsidP="007258E4">
      <w:pPr>
        <w:keepNext/>
        <w:jc w:val="both"/>
        <w:rPr>
          <w:rFonts w:ascii="Times New Roman" w:hAnsi="Times New Roman" w:cs="Times New Roman"/>
          <w:bCs/>
          <w:color w:val="000000" w:themeColor="text1"/>
        </w:rPr>
      </w:pPr>
      <w:r w:rsidRPr="007258E4">
        <w:rPr>
          <w:rFonts w:ascii="Times New Roman" w:hAnsi="Times New Roman" w:cs="Times New Roman"/>
          <w:bCs/>
          <w:color w:val="000000" w:themeColor="text1"/>
        </w:rPr>
        <w:drawing>
          <wp:inline distT="0" distB="0" distL="0" distR="0" wp14:anchorId="25D3E0C4" wp14:editId="0C610DD1">
            <wp:extent cx="5756910" cy="3783060"/>
            <wp:effectExtent l="0" t="0" r="8890" b="1905"/>
            <wp:docPr id="17"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EEDBC3E" w14:textId="77777777" w:rsidR="000B6B03" w:rsidRPr="007258E4" w:rsidRDefault="000B6B03" w:rsidP="00F17F60">
      <w:pPr>
        <w:jc w:val="both"/>
        <w:rPr>
          <w:rFonts w:ascii="Times New Roman" w:hAnsi="Times New Roman" w:cs="Times New Roman"/>
          <w:color w:val="000000" w:themeColor="text1"/>
        </w:rPr>
      </w:pPr>
    </w:p>
    <w:p w14:paraId="2E81C8FE" w14:textId="4407F666" w:rsidR="000B0854" w:rsidRPr="007258E4" w:rsidRDefault="00687392" w:rsidP="000B0854">
      <w:pPr>
        <w:jc w:val="both"/>
        <w:rPr>
          <w:rFonts w:ascii="Times New Roman" w:hAnsi="Times New Roman" w:cs="Times New Roman"/>
          <w:b/>
          <w:bCs/>
          <w:color w:val="000000" w:themeColor="text1"/>
          <w:sz w:val="22"/>
        </w:rPr>
      </w:pPr>
      <w:r w:rsidRPr="007258E4">
        <w:rPr>
          <w:rFonts w:ascii="Times New Roman" w:hAnsi="Times New Roman" w:cs="Times New Roman"/>
          <w:color w:val="000000" w:themeColor="text1"/>
        </w:rPr>
        <w:t xml:space="preserve">
</w:t>
      </w:r>
      <w:r w:rsidR="000B0854" w:rsidRPr="007258E4">
        <w:rPr>
          <w:rFonts w:ascii="Times New Roman" w:hAnsi="Times New Roman" w:cs="Times New Roman"/>
          <w:b/>
          <w:bCs/>
          <w:color w:val="000000" w:themeColor="text1"/>
          <w:sz w:val="22"/>
        </w:rPr>
        <w:t xml:space="preserve"> </w:t>
      </w:r>
      <w:r w:rsidR="0085355C" w:rsidRPr="007258E4">
        <w:rPr>
          <w:rFonts w:ascii="Times New Roman" w:hAnsi="Times New Roman" w:cs="Times New Roman"/>
          <w:b/>
          <w:bCs/>
          <w:color w:val="000000" w:themeColor="text1"/>
          <w:sz w:val="22"/>
        </w:rPr>
        <w:t>Classements de synthèse en ce qui concerne les trains</w:t>
      </w:r>
    </w:p>
    <w:tbl>
      <w:tblPr>
        <w:tblStyle w:val="Grille"/>
        <w:tblW w:w="52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251"/>
        <w:gridCol w:w="1232"/>
        <w:gridCol w:w="2719"/>
        <w:gridCol w:w="1959"/>
        <w:gridCol w:w="1634"/>
      </w:tblGrid>
      <w:tr w:rsidR="000B0854" w:rsidRPr="007258E4" w14:paraId="355A7D0B" w14:textId="77777777" w:rsidTr="000B0854">
        <w:tc>
          <w:tcPr>
            <w:tcW w:w="1149" w:type="pct"/>
            <w:tcBorders>
              <w:top w:val="single" w:sz="4" w:space="0" w:color="auto"/>
              <w:bottom w:val="single" w:sz="4" w:space="0" w:color="auto"/>
            </w:tcBorders>
            <w:hideMark/>
          </w:tcPr>
          <w:p w14:paraId="440880A7" w14:textId="77777777" w:rsidR="000B0854" w:rsidRPr="007258E4" w:rsidRDefault="000B0854" w:rsidP="000B0854">
            <w:pPr>
              <w:rPr>
                <w:rFonts w:ascii="Times New Roman" w:eastAsia="Times New Roman" w:hAnsi="Times New Roman" w:cs="Times New Roman"/>
                <w:color w:val="000000" w:themeColor="text1"/>
                <w:sz w:val="20"/>
                <w:szCs w:val="20"/>
                <w:lang w:eastAsia="fr-FR"/>
              </w:rPr>
            </w:pPr>
            <w:bookmarkStart w:id="0" w:name="_GoBack"/>
            <w:bookmarkEnd w:id="0"/>
          </w:p>
        </w:tc>
        <w:tc>
          <w:tcPr>
            <w:tcW w:w="629" w:type="pct"/>
            <w:tcBorders>
              <w:top w:val="single" w:sz="4" w:space="0" w:color="auto"/>
              <w:bottom w:val="single" w:sz="4" w:space="0" w:color="auto"/>
            </w:tcBorders>
            <w:hideMark/>
          </w:tcPr>
          <w:p w14:paraId="153C7258"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bCs/>
                <w:color w:val="000000" w:themeColor="text1"/>
                <w:kern w:val="24"/>
                <w:sz w:val="20"/>
                <w:szCs w:val="20"/>
                <w:lang w:eastAsia="fr-FR"/>
              </w:rPr>
              <w:t>Rang de la France</w:t>
            </w:r>
          </w:p>
          <w:p w14:paraId="4AFB4E1E"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bCs/>
                <w:color w:val="000000" w:themeColor="text1"/>
                <w:kern w:val="24"/>
                <w:sz w:val="20"/>
                <w:szCs w:val="20"/>
                <w:lang w:eastAsia="fr-FR"/>
              </w:rPr>
              <w:t>2013 / 2011</w:t>
            </w:r>
          </w:p>
        </w:tc>
        <w:tc>
          <w:tcPr>
            <w:tcW w:w="1388" w:type="pct"/>
            <w:tcBorders>
              <w:top w:val="single" w:sz="4" w:space="0" w:color="auto"/>
              <w:bottom w:val="single" w:sz="4" w:space="0" w:color="auto"/>
            </w:tcBorders>
            <w:hideMark/>
          </w:tcPr>
          <w:p w14:paraId="25F0BEED"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bCs/>
                <w:color w:val="000000" w:themeColor="text1"/>
                <w:kern w:val="24"/>
                <w:sz w:val="20"/>
                <w:szCs w:val="20"/>
                <w:lang w:eastAsia="fr-FR"/>
              </w:rPr>
              <w:t>Taux de satisfaction</w:t>
            </w:r>
          </w:p>
          <w:p w14:paraId="1FD93E66"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bCs/>
                <w:color w:val="000000" w:themeColor="text1"/>
                <w:kern w:val="24"/>
                <w:sz w:val="20"/>
                <w:szCs w:val="20"/>
                <w:lang w:eastAsia="fr-FR"/>
              </w:rPr>
              <w:t>Total (très satisfaits)</w:t>
            </w:r>
          </w:p>
          <w:p w14:paraId="6C3BA0A6"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bCs/>
                <w:color w:val="000000" w:themeColor="text1"/>
                <w:kern w:val="24"/>
                <w:sz w:val="20"/>
                <w:szCs w:val="20"/>
                <w:lang w:eastAsia="fr-FR"/>
              </w:rPr>
              <w:t>2013 / 2011</w:t>
            </w:r>
          </w:p>
        </w:tc>
        <w:tc>
          <w:tcPr>
            <w:tcW w:w="1000" w:type="pct"/>
            <w:tcBorders>
              <w:top w:val="single" w:sz="4" w:space="0" w:color="auto"/>
              <w:bottom w:val="single" w:sz="4" w:space="0" w:color="auto"/>
            </w:tcBorders>
            <w:hideMark/>
          </w:tcPr>
          <w:p w14:paraId="468EF917"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bCs/>
                <w:color w:val="000000" w:themeColor="text1"/>
                <w:kern w:val="24"/>
                <w:sz w:val="20"/>
                <w:szCs w:val="20"/>
                <w:lang w:eastAsia="fr-FR"/>
              </w:rPr>
              <w:t>Taux le plus élevé</w:t>
            </w:r>
          </w:p>
          <w:p w14:paraId="75F6B9B3"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bCs/>
                <w:color w:val="000000" w:themeColor="text1"/>
                <w:kern w:val="24"/>
                <w:sz w:val="20"/>
                <w:szCs w:val="20"/>
                <w:lang w:eastAsia="fr-FR"/>
              </w:rPr>
              <w:t>2013</w:t>
            </w:r>
          </w:p>
        </w:tc>
        <w:tc>
          <w:tcPr>
            <w:tcW w:w="834" w:type="pct"/>
            <w:tcBorders>
              <w:top w:val="single" w:sz="4" w:space="0" w:color="auto"/>
              <w:bottom w:val="single" w:sz="4" w:space="0" w:color="auto"/>
            </w:tcBorders>
            <w:hideMark/>
          </w:tcPr>
          <w:p w14:paraId="153EF9C5"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bCs/>
                <w:color w:val="000000" w:themeColor="text1"/>
                <w:kern w:val="24"/>
                <w:sz w:val="20"/>
                <w:szCs w:val="20"/>
                <w:lang w:eastAsia="fr-FR"/>
              </w:rPr>
              <w:t>Taux le plus faible</w:t>
            </w:r>
          </w:p>
          <w:p w14:paraId="2C00CA37"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bCs/>
                <w:color w:val="000000" w:themeColor="text1"/>
                <w:kern w:val="24"/>
                <w:sz w:val="20"/>
                <w:szCs w:val="20"/>
                <w:lang w:eastAsia="fr-FR"/>
              </w:rPr>
              <w:t>2013</w:t>
            </w:r>
          </w:p>
        </w:tc>
      </w:tr>
      <w:tr w:rsidR="000B0854" w:rsidRPr="007258E4" w14:paraId="32572ACD" w14:textId="77777777" w:rsidTr="000B0854">
        <w:tc>
          <w:tcPr>
            <w:tcW w:w="1149" w:type="pct"/>
            <w:tcBorders>
              <w:top w:val="single" w:sz="4" w:space="0" w:color="auto"/>
            </w:tcBorders>
            <w:hideMark/>
          </w:tcPr>
          <w:p w14:paraId="6B7BD966" w14:textId="77777777" w:rsidR="000B0854" w:rsidRPr="007258E4" w:rsidRDefault="000B0854" w:rsidP="000B0854">
            <w:pPr>
              <w:rPr>
                <w:rFonts w:ascii="Times New Roman" w:hAnsi="Times New Roman" w:cs="Times New Roman"/>
                <w:color w:val="000000" w:themeColor="text1"/>
                <w:sz w:val="20"/>
                <w:szCs w:val="20"/>
                <w:lang w:eastAsia="fr-FR"/>
              </w:rPr>
            </w:pPr>
            <w:r w:rsidRPr="007258E4">
              <w:rPr>
                <w:rFonts w:ascii="Times New Roman" w:hAnsi="Times New Roman" w:cs="Times New Roman"/>
                <w:bCs/>
                <w:color w:val="000000" w:themeColor="text1"/>
                <w:kern w:val="24"/>
                <w:sz w:val="20"/>
                <w:szCs w:val="20"/>
                <w:lang w:eastAsia="fr-FR"/>
              </w:rPr>
              <w:t>Fréquence</w:t>
            </w:r>
          </w:p>
        </w:tc>
        <w:tc>
          <w:tcPr>
            <w:tcW w:w="629" w:type="pct"/>
            <w:tcBorders>
              <w:top w:val="single" w:sz="4" w:space="0" w:color="auto"/>
            </w:tcBorders>
            <w:hideMark/>
          </w:tcPr>
          <w:p w14:paraId="0950060F"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10</w:t>
            </w:r>
            <w:r w:rsidRPr="007258E4">
              <w:rPr>
                <w:rFonts w:ascii="Times New Roman" w:hAnsi="Times New Roman" w:cs="Times New Roman"/>
                <w:color w:val="000000" w:themeColor="text1"/>
                <w:kern w:val="24"/>
                <w:position w:val="8"/>
                <w:sz w:val="20"/>
                <w:szCs w:val="20"/>
                <w:vertAlign w:val="superscript"/>
                <w:lang w:eastAsia="fr-FR"/>
              </w:rPr>
              <w:t>e</w:t>
            </w:r>
            <w:r w:rsidRPr="007258E4">
              <w:rPr>
                <w:rFonts w:ascii="Times New Roman" w:hAnsi="Times New Roman" w:cs="Times New Roman"/>
                <w:color w:val="000000" w:themeColor="text1"/>
                <w:kern w:val="24"/>
                <w:sz w:val="20"/>
                <w:szCs w:val="20"/>
                <w:lang w:eastAsia="fr-FR"/>
              </w:rPr>
              <w:t xml:space="preserve"> / 15</w:t>
            </w:r>
            <w:r w:rsidRPr="007258E4">
              <w:rPr>
                <w:rFonts w:ascii="Times New Roman" w:hAnsi="Times New Roman" w:cs="Times New Roman"/>
                <w:color w:val="000000" w:themeColor="text1"/>
                <w:kern w:val="24"/>
                <w:position w:val="8"/>
                <w:sz w:val="20"/>
                <w:szCs w:val="20"/>
                <w:vertAlign w:val="superscript"/>
                <w:lang w:eastAsia="fr-FR"/>
              </w:rPr>
              <w:t>e</w:t>
            </w:r>
            <w:r w:rsidRPr="007258E4">
              <w:rPr>
                <w:rFonts w:ascii="Times New Roman" w:hAnsi="Times New Roman" w:cs="Times New Roman"/>
                <w:color w:val="000000" w:themeColor="text1"/>
                <w:kern w:val="24"/>
                <w:sz w:val="20"/>
                <w:szCs w:val="20"/>
                <w:lang w:eastAsia="fr-FR"/>
              </w:rPr>
              <w:t xml:space="preserve"> </w:t>
            </w:r>
          </w:p>
        </w:tc>
        <w:tc>
          <w:tcPr>
            <w:tcW w:w="1388" w:type="pct"/>
            <w:tcBorders>
              <w:top w:val="single" w:sz="4" w:space="0" w:color="auto"/>
            </w:tcBorders>
            <w:hideMark/>
          </w:tcPr>
          <w:p w14:paraId="5E05256B"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67 % (9 %)  / 73 % (11 %)</w:t>
            </w:r>
          </w:p>
        </w:tc>
        <w:tc>
          <w:tcPr>
            <w:tcW w:w="1000" w:type="pct"/>
            <w:tcBorders>
              <w:top w:val="single" w:sz="4" w:space="0" w:color="auto"/>
            </w:tcBorders>
            <w:hideMark/>
          </w:tcPr>
          <w:p w14:paraId="06796E04"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77 %</w:t>
            </w:r>
          </w:p>
          <w:p w14:paraId="7B7E3164"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(Royaume-Uni)</w:t>
            </w:r>
          </w:p>
        </w:tc>
        <w:tc>
          <w:tcPr>
            <w:tcW w:w="834" w:type="pct"/>
            <w:tcBorders>
              <w:top w:val="single" w:sz="4" w:space="0" w:color="auto"/>
            </w:tcBorders>
            <w:hideMark/>
          </w:tcPr>
          <w:p w14:paraId="3339D465"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21 %</w:t>
            </w:r>
          </w:p>
          <w:p w14:paraId="4C960553"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(Estonie)</w:t>
            </w:r>
          </w:p>
        </w:tc>
      </w:tr>
      <w:tr w:rsidR="000B0854" w:rsidRPr="007258E4" w14:paraId="4E787582" w14:textId="77777777" w:rsidTr="000B0854">
        <w:tc>
          <w:tcPr>
            <w:tcW w:w="1149" w:type="pct"/>
            <w:hideMark/>
          </w:tcPr>
          <w:p w14:paraId="5511D8A8" w14:textId="77777777" w:rsidR="000B0854" w:rsidRPr="007258E4" w:rsidRDefault="000B0854" w:rsidP="000B0854">
            <w:pPr>
              <w:rPr>
                <w:rFonts w:ascii="Times New Roman" w:hAnsi="Times New Roman" w:cs="Times New Roman"/>
                <w:color w:val="000000" w:themeColor="text1"/>
                <w:sz w:val="20"/>
                <w:szCs w:val="20"/>
                <w:lang w:eastAsia="fr-FR"/>
              </w:rPr>
            </w:pPr>
            <w:r w:rsidRPr="007258E4">
              <w:rPr>
                <w:rFonts w:ascii="Times New Roman" w:hAnsi="Times New Roman" w:cs="Times New Roman"/>
                <w:bCs/>
                <w:color w:val="000000" w:themeColor="text1"/>
                <w:kern w:val="24"/>
                <w:sz w:val="20"/>
                <w:szCs w:val="20"/>
                <w:lang w:eastAsia="fr-FR"/>
              </w:rPr>
              <w:t>Ponctualité</w:t>
            </w:r>
          </w:p>
        </w:tc>
        <w:tc>
          <w:tcPr>
            <w:tcW w:w="629" w:type="pct"/>
            <w:hideMark/>
          </w:tcPr>
          <w:p w14:paraId="28B18B3C"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11</w:t>
            </w:r>
            <w:r w:rsidRPr="007258E4">
              <w:rPr>
                <w:rFonts w:ascii="Times New Roman" w:hAnsi="Times New Roman" w:cs="Times New Roman"/>
                <w:color w:val="000000" w:themeColor="text1"/>
                <w:kern w:val="24"/>
                <w:position w:val="8"/>
                <w:sz w:val="20"/>
                <w:szCs w:val="20"/>
                <w:vertAlign w:val="superscript"/>
                <w:lang w:eastAsia="fr-FR"/>
              </w:rPr>
              <w:t>e</w:t>
            </w:r>
            <w:r w:rsidRPr="007258E4">
              <w:rPr>
                <w:rFonts w:ascii="Times New Roman" w:hAnsi="Times New Roman" w:cs="Times New Roman"/>
                <w:color w:val="000000" w:themeColor="text1"/>
                <w:kern w:val="24"/>
                <w:sz w:val="20"/>
                <w:szCs w:val="20"/>
                <w:lang w:eastAsia="fr-FR"/>
              </w:rPr>
              <w:t xml:space="preserve"> / 21</w:t>
            </w:r>
            <w:r w:rsidRPr="007258E4">
              <w:rPr>
                <w:rFonts w:ascii="Times New Roman" w:hAnsi="Times New Roman" w:cs="Times New Roman"/>
                <w:color w:val="000000" w:themeColor="text1"/>
                <w:kern w:val="24"/>
                <w:position w:val="8"/>
                <w:sz w:val="20"/>
                <w:szCs w:val="20"/>
                <w:vertAlign w:val="superscript"/>
                <w:lang w:eastAsia="fr-FR"/>
              </w:rPr>
              <w:t>e</w:t>
            </w:r>
            <w:r w:rsidRPr="007258E4">
              <w:rPr>
                <w:rFonts w:ascii="Times New Roman" w:hAnsi="Times New Roman" w:cs="Times New Roman"/>
                <w:color w:val="000000" w:themeColor="text1"/>
                <w:kern w:val="24"/>
                <w:sz w:val="20"/>
                <w:szCs w:val="20"/>
                <w:lang w:eastAsia="fr-FR"/>
              </w:rPr>
              <w:t xml:space="preserve"> </w:t>
            </w:r>
          </w:p>
        </w:tc>
        <w:tc>
          <w:tcPr>
            <w:tcW w:w="1388" w:type="pct"/>
            <w:hideMark/>
          </w:tcPr>
          <w:p w14:paraId="3E374D58"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57 % (7 %) / 55 % (9 %)</w:t>
            </w:r>
          </w:p>
        </w:tc>
        <w:tc>
          <w:tcPr>
            <w:tcW w:w="1000" w:type="pct"/>
            <w:hideMark/>
          </w:tcPr>
          <w:p w14:paraId="6A9F0CEC"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 xml:space="preserve">78 % </w:t>
            </w:r>
          </w:p>
          <w:p w14:paraId="72BF9F69"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(Irlande)</w:t>
            </w:r>
          </w:p>
        </w:tc>
        <w:tc>
          <w:tcPr>
            <w:tcW w:w="834" w:type="pct"/>
            <w:hideMark/>
          </w:tcPr>
          <w:p w14:paraId="3C536BA4"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36 %</w:t>
            </w:r>
          </w:p>
          <w:p w14:paraId="67554D04"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(Pologne)</w:t>
            </w:r>
          </w:p>
        </w:tc>
      </w:tr>
      <w:tr w:rsidR="000B0854" w:rsidRPr="007258E4" w14:paraId="52DB90B9" w14:textId="77777777" w:rsidTr="000B0854">
        <w:tc>
          <w:tcPr>
            <w:tcW w:w="1149" w:type="pct"/>
            <w:hideMark/>
          </w:tcPr>
          <w:p w14:paraId="7E40DB02" w14:textId="77777777" w:rsidR="000B0854" w:rsidRPr="007258E4" w:rsidRDefault="000B0854" w:rsidP="000B0854">
            <w:pPr>
              <w:rPr>
                <w:rFonts w:ascii="Times New Roman" w:hAnsi="Times New Roman" w:cs="Times New Roman"/>
                <w:color w:val="000000" w:themeColor="text1"/>
                <w:sz w:val="20"/>
                <w:szCs w:val="20"/>
                <w:lang w:eastAsia="fr-FR"/>
              </w:rPr>
            </w:pPr>
            <w:r w:rsidRPr="007258E4">
              <w:rPr>
                <w:rFonts w:ascii="Times New Roman" w:hAnsi="Times New Roman" w:cs="Times New Roman"/>
                <w:bCs/>
                <w:color w:val="000000" w:themeColor="text1"/>
                <w:kern w:val="24"/>
                <w:sz w:val="20"/>
                <w:szCs w:val="20"/>
                <w:lang w:eastAsia="fr-FR"/>
              </w:rPr>
              <w:t>Information</w:t>
            </w:r>
          </w:p>
        </w:tc>
        <w:tc>
          <w:tcPr>
            <w:tcW w:w="629" w:type="pct"/>
            <w:hideMark/>
          </w:tcPr>
          <w:p w14:paraId="191ED351"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16</w:t>
            </w:r>
            <w:r w:rsidRPr="007258E4">
              <w:rPr>
                <w:rFonts w:ascii="Times New Roman" w:hAnsi="Times New Roman" w:cs="Times New Roman"/>
                <w:color w:val="000000" w:themeColor="text1"/>
                <w:kern w:val="24"/>
                <w:position w:val="8"/>
                <w:sz w:val="20"/>
                <w:szCs w:val="20"/>
                <w:vertAlign w:val="superscript"/>
                <w:lang w:eastAsia="fr-FR"/>
              </w:rPr>
              <w:t>e</w:t>
            </w:r>
            <w:r w:rsidRPr="007258E4">
              <w:rPr>
                <w:rFonts w:ascii="Times New Roman" w:hAnsi="Times New Roman" w:cs="Times New Roman"/>
                <w:color w:val="000000" w:themeColor="text1"/>
                <w:kern w:val="24"/>
                <w:sz w:val="20"/>
                <w:szCs w:val="20"/>
                <w:lang w:eastAsia="fr-FR"/>
              </w:rPr>
              <w:t xml:space="preserve"> / 24</w:t>
            </w:r>
            <w:r w:rsidRPr="007258E4">
              <w:rPr>
                <w:rFonts w:ascii="Times New Roman" w:hAnsi="Times New Roman" w:cs="Times New Roman"/>
                <w:color w:val="000000" w:themeColor="text1"/>
                <w:kern w:val="24"/>
                <w:position w:val="8"/>
                <w:sz w:val="20"/>
                <w:szCs w:val="20"/>
                <w:vertAlign w:val="superscript"/>
                <w:lang w:eastAsia="fr-FR"/>
              </w:rPr>
              <w:t>e</w:t>
            </w:r>
            <w:r w:rsidRPr="007258E4">
              <w:rPr>
                <w:rFonts w:ascii="Times New Roman" w:hAnsi="Times New Roman" w:cs="Times New Roman"/>
                <w:color w:val="000000" w:themeColor="text1"/>
                <w:kern w:val="24"/>
                <w:sz w:val="20"/>
                <w:szCs w:val="20"/>
                <w:lang w:eastAsia="fr-FR"/>
              </w:rPr>
              <w:t xml:space="preserve"> </w:t>
            </w:r>
          </w:p>
        </w:tc>
        <w:tc>
          <w:tcPr>
            <w:tcW w:w="1388" w:type="pct"/>
            <w:hideMark/>
          </w:tcPr>
          <w:p w14:paraId="4E9D7A01"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43 % (7 %) / 48 % (7 %)</w:t>
            </w:r>
          </w:p>
        </w:tc>
        <w:tc>
          <w:tcPr>
            <w:tcW w:w="1000" w:type="pct"/>
            <w:hideMark/>
          </w:tcPr>
          <w:p w14:paraId="0A5E5F51"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70 %</w:t>
            </w:r>
          </w:p>
          <w:p w14:paraId="617B6FEE"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(Royaume-Uni)</w:t>
            </w:r>
          </w:p>
        </w:tc>
        <w:tc>
          <w:tcPr>
            <w:tcW w:w="834" w:type="pct"/>
            <w:hideMark/>
          </w:tcPr>
          <w:p w14:paraId="5781DE91"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16 %</w:t>
            </w:r>
          </w:p>
          <w:p w14:paraId="2C444A1A"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(Estonie)</w:t>
            </w:r>
          </w:p>
        </w:tc>
      </w:tr>
      <w:tr w:rsidR="000B0854" w:rsidRPr="007258E4" w14:paraId="3B6F6A17" w14:textId="77777777" w:rsidTr="000B0854">
        <w:tc>
          <w:tcPr>
            <w:tcW w:w="1149" w:type="pct"/>
            <w:hideMark/>
          </w:tcPr>
          <w:p w14:paraId="4C4BFBC6" w14:textId="77777777" w:rsidR="000B0854" w:rsidRPr="007258E4" w:rsidRDefault="000B0854" w:rsidP="000B0854">
            <w:pPr>
              <w:rPr>
                <w:rFonts w:ascii="Times New Roman" w:hAnsi="Times New Roman" w:cs="Times New Roman"/>
                <w:color w:val="000000" w:themeColor="text1"/>
                <w:sz w:val="20"/>
                <w:szCs w:val="20"/>
                <w:lang w:eastAsia="fr-FR"/>
              </w:rPr>
            </w:pPr>
            <w:r w:rsidRPr="007258E4">
              <w:rPr>
                <w:rFonts w:ascii="Times New Roman" w:hAnsi="Times New Roman" w:cs="Times New Roman"/>
                <w:bCs/>
                <w:color w:val="000000" w:themeColor="text1"/>
                <w:kern w:val="24"/>
                <w:sz w:val="20"/>
                <w:szCs w:val="20"/>
                <w:lang w:eastAsia="fr-FR"/>
              </w:rPr>
              <w:t>Propreté</w:t>
            </w:r>
          </w:p>
        </w:tc>
        <w:tc>
          <w:tcPr>
            <w:tcW w:w="629" w:type="pct"/>
            <w:hideMark/>
          </w:tcPr>
          <w:p w14:paraId="1A06AA5B"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7</w:t>
            </w:r>
            <w:r w:rsidRPr="007258E4">
              <w:rPr>
                <w:rFonts w:ascii="Times New Roman" w:hAnsi="Times New Roman" w:cs="Times New Roman"/>
                <w:color w:val="000000" w:themeColor="text1"/>
                <w:kern w:val="24"/>
                <w:position w:val="8"/>
                <w:sz w:val="20"/>
                <w:szCs w:val="20"/>
                <w:vertAlign w:val="superscript"/>
                <w:lang w:eastAsia="fr-FR"/>
              </w:rPr>
              <w:t>e</w:t>
            </w:r>
            <w:r w:rsidRPr="007258E4">
              <w:rPr>
                <w:rFonts w:ascii="Times New Roman" w:hAnsi="Times New Roman" w:cs="Times New Roman"/>
                <w:color w:val="000000" w:themeColor="text1"/>
                <w:kern w:val="24"/>
                <w:sz w:val="20"/>
                <w:szCs w:val="20"/>
                <w:lang w:eastAsia="fr-FR"/>
              </w:rPr>
              <w:t xml:space="preserve"> / 13</w:t>
            </w:r>
            <w:r w:rsidRPr="007258E4">
              <w:rPr>
                <w:rFonts w:ascii="Times New Roman" w:hAnsi="Times New Roman" w:cs="Times New Roman"/>
                <w:color w:val="000000" w:themeColor="text1"/>
                <w:kern w:val="24"/>
                <w:position w:val="8"/>
                <w:sz w:val="20"/>
                <w:szCs w:val="20"/>
                <w:vertAlign w:val="superscript"/>
                <w:lang w:eastAsia="fr-FR"/>
              </w:rPr>
              <w:t>e</w:t>
            </w:r>
            <w:r w:rsidRPr="007258E4">
              <w:rPr>
                <w:rFonts w:ascii="Times New Roman" w:hAnsi="Times New Roman" w:cs="Times New Roman"/>
                <w:color w:val="000000" w:themeColor="text1"/>
                <w:kern w:val="24"/>
                <w:sz w:val="20"/>
                <w:szCs w:val="20"/>
                <w:lang w:eastAsia="fr-FR"/>
              </w:rPr>
              <w:t xml:space="preserve"> </w:t>
            </w:r>
          </w:p>
        </w:tc>
        <w:tc>
          <w:tcPr>
            <w:tcW w:w="1388" w:type="pct"/>
            <w:hideMark/>
          </w:tcPr>
          <w:p w14:paraId="0CC22D38"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64 % (8 %) / 65 % (11 %)</w:t>
            </w:r>
          </w:p>
        </w:tc>
        <w:tc>
          <w:tcPr>
            <w:tcW w:w="1000" w:type="pct"/>
            <w:hideMark/>
          </w:tcPr>
          <w:p w14:paraId="104D6DC0"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76 %</w:t>
            </w:r>
          </w:p>
          <w:p w14:paraId="05781F44"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w:t>
            </w:r>
            <w:proofErr w:type="gramStart"/>
            <w:r w:rsidRPr="007258E4">
              <w:rPr>
                <w:rFonts w:ascii="Times New Roman" w:hAnsi="Times New Roman" w:cs="Times New Roman"/>
                <w:color w:val="000000" w:themeColor="text1"/>
                <w:kern w:val="24"/>
                <w:sz w:val="20"/>
                <w:szCs w:val="20"/>
                <w:lang w:eastAsia="fr-FR"/>
              </w:rPr>
              <w:t>Finlande )</w:t>
            </w:r>
            <w:proofErr w:type="gramEnd"/>
          </w:p>
        </w:tc>
        <w:tc>
          <w:tcPr>
            <w:tcW w:w="834" w:type="pct"/>
            <w:hideMark/>
          </w:tcPr>
          <w:p w14:paraId="6C54363D"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16 %</w:t>
            </w:r>
          </w:p>
          <w:p w14:paraId="75B1A763"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(Bulgarie)</w:t>
            </w:r>
          </w:p>
        </w:tc>
      </w:tr>
      <w:tr w:rsidR="000B0854" w:rsidRPr="007258E4" w14:paraId="7C657BA8" w14:textId="77777777" w:rsidTr="000B0854">
        <w:tc>
          <w:tcPr>
            <w:tcW w:w="1149" w:type="pct"/>
            <w:hideMark/>
          </w:tcPr>
          <w:p w14:paraId="3C45C833" w14:textId="77777777" w:rsidR="000B0854" w:rsidRPr="007258E4" w:rsidRDefault="000B0854" w:rsidP="000B0854">
            <w:pPr>
              <w:rPr>
                <w:rFonts w:ascii="Times New Roman" w:hAnsi="Times New Roman" w:cs="Times New Roman"/>
                <w:color w:val="000000" w:themeColor="text1"/>
                <w:sz w:val="20"/>
                <w:szCs w:val="20"/>
                <w:lang w:eastAsia="fr-FR"/>
              </w:rPr>
            </w:pPr>
            <w:r w:rsidRPr="007258E4">
              <w:rPr>
                <w:rFonts w:ascii="Times New Roman" w:hAnsi="Times New Roman" w:cs="Times New Roman"/>
                <w:bCs/>
                <w:color w:val="000000" w:themeColor="text1"/>
                <w:kern w:val="24"/>
                <w:sz w:val="20"/>
                <w:szCs w:val="20"/>
                <w:lang w:eastAsia="fr-FR"/>
              </w:rPr>
              <w:t>Disponibilité personnel</w:t>
            </w:r>
          </w:p>
        </w:tc>
        <w:tc>
          <w:tcPr>
            <w:tcW w:w="629" w:type="pct"/>
            <w:hideMark/>
          </w:tcPr>
          <w:p w14:paraId="5C1E302E"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5</w:t>
            </w:r>
            <w:r w:rsidRPr="007258E4">
              <w:rPr>
                <w:rFonts w:ascii="Times New Roman" w:hAnsi="Times New Roman" w:cs="Times New Roman"/>
                <w:color w:val="000000" w:themeColor="text1"/>
                <w:kern w:val="24"/>
                <w:position w:val="8"/>
                <w:sz w:val="20"/>
                <w:szCs w:val="20"/>
                <w:vertAlign w:val="superscript"/>
                <w:lang w:eastAsia="fr-FR"/>
              </w:rPr>
              <w:t>e</w:t>
            </w:r>
            <w:r w:rsidRPr="007258E4">
              <w:rPr>
                <w:rFonts w:ascii="Times New Roman" w:hAnsi="Times New Roman" w:cs="Times New Roman"/>
                <w:color w:val="000000" w:themeColor="text1"/>
                <w:kern w:val="24"/>
                <w:sz w:val="20"/>
                <w:szCs w:val="20"/>
                <w:lang w:eastAsia="fr-FR"/>
              </w:rPr>
              <w:t xml:space="preserve"> / 18</w:t>
            </w:r>
            <w:r w:rsidRPr="007258E4">
              <w:rPr>
                <w:rFonts w:ascii="Times New Roman" w:hAnsi="Times New Roman" w:cs="Times New Roman"/>
                <w:color w:val="000000" w:themeColor="text1"/>
                <w:kern w:val="24"/>
                <w:position w:val="8"/>
                <w:sz w:val="20"/>
                <w:szCs w:val="20"/>
                <w:vertAlign w:val="superscript"/>
                <w:lang w:eastAsia="fr-FR"/>
              </w:rPr>
              <w:t>e</w:t>
            </w:r>
            <w:r w:rsidRPr="007258E4">
              <w:rPr>
                <w:rFonts w:ascii="Times New Roman" w:hAnsi="Times New Roman" w:cs="Times New Roman"/>
                <w:color w:val="000000" w:themeColor="text1"/>
                <w:kern w:val="24"/>
                <w:sz w:val="20"/>
                <w:szCs w:val="20"/>
                <w:lang w:eastAsia="fr-FR"/>
              </w:rPr>
              <w:t xml:space="preserve"> </w:t>
            </w:r>
          </w:p>
        </w:tc>
        <w:tc>
          <w:tcPr>
            <w:tcW w:w="1388" w:type="pct"/>
            <w:hideMark/>
          </w:tcPr>
          <w:p w14:paraId="0D2B44E2"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64 % (12 %) / 63 % (10 %)</w:t>
            </w:r>
          </w:p>
        </w:tc>
        <w:tc>
          <w:tcPr>
            <w:tcW w:w="1000" w:type="pct"/>
            <w:hideMark/>
          </w:tcPr>
          <w:p w14:paraId="4FFE425B"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76 %</w:t>
            </w:r>
          </w:p>
          <w:p w14:paraId="684475FF"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(Belgique)</w:t>
            </w:r>
          </w:p>
        </w:tc>
        <w:tc>
          <w:tcPr>
            <w:tcW w:w="834" w:type="pct"/>
            <w:hideMark/>
          </w:tcPr>
          <w:p w14:paraId="256FA8C8"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27 %</w:t>
            </w:r>
          </w:p>
          <w:p w14:paraId="47AABEC6"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(Estonie)</w:t>
            </w:r>
          </w:p>
        </w:tc>
      </w:tr>
      <w:tr w:rsidR="000B0854" w:rsidRPr="007258E4" w14:paraId="5CA453AD" w14:textId="77777777" w:rsidTr="000B0854">
        <w:tc>
          <w:tcPr>
            <w:tcW w:w="1149" w:type="pct"/>
            <w:hideMark/>
          </w:tcPr>
          <w:p w14:paraId="5C45D20B" w14:textId="77777777" w:rsidR="000B0854" w:rsidRPr="007258E4" w:rsidRDefault="000B0854" w:rsidP="000B0854">
            <w:pPr>
              <w:rPr>
                <w:rFonts w:ascii="Times New Roman" w:hAnsi="Times New Roman" w:cs="Times New Roman"/>
                <w:color w:val="000000" w:themeColor="text1"/>
                <w:sz w:val="20"/>
                <w:szCs w:val="20"/>
                <w:lang w:eastAsia="fr-FR"/>
              </w:rPr>
            </w:pPr>
            <w:r w:rsidRPr="007258E4">
              <w:rPr>
                <w:rFonts w:ascii="Times New Roman" w:hAnsi="Times New Roman" w:cs="Times New Roman"/>
                <w:bCs/>
                <w:color w:val="000000" w:themeColor="text1"/>
                <w:kern w:val="24"/>
                <w:sz w:val="20"/>
                <w:szCs w:val="20"/>
                <w:lang w:eastAsia="fr-FR"/>
              </w:rPr>
              <w:t>Accessibilité handicapés</w:t>
            </w:r>
          </w:p>
        </w:tc>
        <w:tc>
          <w:tcPr>
            <w:tcW w:w="629" w:type="pct"/>
            <w:hideMark/>
          </w:tcPr>
          <w:p w14:paraId="7D97CD21"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6</w:t>
            </w:r>
            <w:r w:rsidRPr="007258E4">
              <w:rPr>
                <w:rFonts w:ascii="Times New Roman" w:hAnsi="Times New Roman" w:cs="Times New Roman"/>
                <w:color w:val="000000" w:themeColor="text1"/>
                <w:kern w:val="24"/>
                <w:position w:val="8"/>
                <w:sz w:val="20"/>
                <w:szCs w:val="20"/>
                <w:vertAlign w:val="superscript"/>
                <w:lang w:eastAsia="fr-FR"/>
              </w:rPr>
              <w:t>e</w:t>
            </w:r>
          </w:p>
        </w:tc>
        <w:tc>
          <w:tcPr>
            <w:tcW w:w="1388" w:type="pct"/>
            <w:hideMark/>
          </w:tcPr>
          <w:p w14:paraId="43A562B9"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49 % (7%)</w:t>
            </w:r>
          </w:p>
        </w:tc>
        <w:tc>
          <w:tcPr>
            <w:tcW w:w="1000" w:type="pct"/>
            <w:hideMark/>
          </w:tcPr>
          <w:p w14:paraId="3AC9373D"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63 %</w:t>
            </w:r>
          </w:p>
          <w:p w14:paraId="5458E571"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(Royaume-Uni)</w:t>
            </w:r>
          </w:p>
        </w:tc>
        <w:tc>
          <w:tcPr>
            <w:tcW w:w="834" w:type="pct"/>
            <w:hideMark/>
          </w:tcPr>
          <w:p w14:paraId="7167086C"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18 %</w:t>
            </w:r>
          </w:p>
          <w:p w14:paraId="18BB186A"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(Bulgarie)</w:t>
            </w:r>
          </w:p>
        </w:tc>
      </w:tr>
      <w:tr w:rsidR="000B0854" w:rsidRPr="007258E4" w14:paraId="2F5CA88C" w14:textId="77777777" w:rsidTr="000B0854">
        <w:tc>
          <w:tcPr>
            <w:tcW w:w="1149" w:type="pct"/>
            <w:tcBorders>
              <w:bottom w:val="single" w:sz="4" w:space="0" w:color="auto"/>
            </w:tcBorders>
            <w:hideMark/>
          </w:tcPr>
          <w:p w14:paraId="272B0464" w14:textId="76F57B7D" w:rsidR="000B0854" w:rsidRPr="007258E4" w:rsidRDefault="0085355C" w:rsidP="000B0854">
            <w:pPr>
              <w:rPr>
                <w:rFonts w:ascii="Times New Roman" w:hAnsi="Times New Roman" w:cs="Times New Roman"/>
                <w:color w:val="000000" w:themeColor="text1"/>
                <w:sz w:val="20"/>
                <w:szCs w:val="20"/>
                <w:lang w:eastAsia="fr-FR"/>
              </w:rPr>
            </w:pPr>
            <w:r w:rsidRPr="007258E4">
              <w:rPr>
                <w:rFonts w:ascii="Times New Roman" w:hAnsi="Times New Roman" w:cs="Times New Roman"/>
                <w:bCs/>
                <w:color w:val="000000" w:themeColor="text1"/>
                <w:kern w:val="24"/>
                <w:sz w:val="20"/>
                <w:szCs w:val="20"/>
                <w:lang w:eastAsia="fr-FR"/>
              </w:rPr>
              <w:t>Indice synthétique</w:t>
            </w:r>
          </w:p>
        </w:tc>
        <w:tc>
          <w:tcPr>
            <w:tcW w:w="629" w:type="pct"/>
            <w:tcBorders>
              <w:bottom w:val="single" w:sz="4" w:space="0" w:color="auto"/>
            </w:tcBorders>
            <w:hideMark/>
          </w:tcPr>
          <w:p w14:paraId="3854436D"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8</w:t>
            </w:r>
            <w:r w:rsidRPr="007258E4">
              <w:rPr>
                <w:rFonts w:ascii="Times New Roman" w:hAnsi="Times New Roman" w:cs="Times New Roman"/>
                <w:color w:val="000000" w:themeColor="text1"/>
                <w:kern w:val="24"/>
                <w:position w:val="8"/>
                <w:sz w:val="20"/>
                <w:szCs w:val="20"/>
                <w:vertAlign w:val="superscript"/>
                <w:lang w:eastAsia="fr-FR"/>
              </w:rPr>
              <w:t>e</w:t>
            </w:r>
            <w:r w:rsidRPr="007258E4">
              <w:rPr>
                <w:rFonts w:ascii="Times New Roman" w:hAnsi="Times New Roman" w:cs="Times New Roman"/>
                <w:color w:val="000000" w:themeColor="text1"/>
                <w:kern w:val="24"/>
                <w:sz w:val="20"/>
                <w:szCs w:val="20"/>
                <w:lang w:eastAsia="fr-FR"/>
              </w:rPr>
              <w:t xml:space="preserve"> </w:t>
            </w:r>
          </w:p>
        </w:tc>
        <w:tc>
          <w:tcPr>
            <w:tcW w:w="1388" w:type="pct"/>
            <w:tcBorders>
              <w:bottom w:val="single" w:sz="4" w:space="0" w:color="auto"/>
            </w:tcBorders>
            <w:hideMark/>
          </w:tcPr>
          <w:p w14:paraId="13AB70EF"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66 % (27%)</w:t>
            </w:r>
          </w:p>
        </w:tc>
        <w:tc>
          <w:tcPr>
            <w:tcW w:w="1000" w:type="pct"/>
            <w:tcBorders>
              <w:bottom w:val="single" w:sz="4" w:space="0" w:color="auto"/>
            </w:tcBorders>
            <w:hideMark/>
          </w:tcPr>
          <w:p w14:paraId="33184D7A"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79 %</w:t>
            </w:r>
          </w:p>
          <w:p w14:paraId="46611431"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w:t>
            </w:r>
            <w:proofErr w:type="gramStart"/>
            <w:r w:rsidRPr="007258E4">
              <w:rPr>
                <w:rFonts w:ascii="Times New Roman" w:hAnsi="Times New Roman" w:cs="Times New Roman"/>
                <w:color w:val="000000" w:themeColor="text1"/>
                <w:kern w:val="24"/>
                <w:sz w:val="20"/>
                <w:szCs w:val="20"/>
                <w:lang w:eastAsia="fr-FR"/>
              </w:rPr>
              <w:t>Finlande )</w:t>
            </w:r>
            <w:proofErr w:type="gramEnd"/>
          </w:p>
        </w:tc>
        <w:tc>
          <w:tcPr>
            <w:tcW w:w="834" w:type="pct"/>
            <w:tcBorders>
              <w:bottom w:val="single" w:sz="4" w:space="0" w:color="auto"/>
            </w:tcBorders>
            <w:hideMark/>
          </w:tcPr>
          <w:p w14:paraId="15507199"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26 %</w:t>
            </w:r>
          </w:p>
          <w:p w14:paraId="4A22AD3C" w14:textId="77777777" w:rsidR="000B0854" w:rsidRPr="007258E4" w:rsidRDefault="000B0854" w:rsidP="000B0854">
            <w:pPr>
              <w:jc w:val="center"/>
              <w:rPr>
                <w:rFonts w:ascii="Times New Roman" w:hAnsi="Times New Roman" w:cs="Times New Roman"/>
                <w:color w:val="000000" w:themeColor="text1"/>
                <w:sz w:val="20"/>
                <w:szCs w:val="20"/>
                <w:lang w:eastAsia="fr-FR"/>
              </w:rPr>
            </w:pPr>
            <w:r w:rsidRPr="007258E4">
              <w:rPr>
                <w:rFonts w:ascii="Times New Roman" w:hAnsi="Times New Roman" w:cs="Times New Roman"/>
                <w:color w:val="000000" w:themeColor="text1"/>
                <w:kern w:val="24"/>
                <w:sz w:val="20"/>
                <w:szCs w:val="20"/>
                <w:lang w:eastAsia="fr-FR"/>
              </w:rPr>
              <w:t>(Estonie)</w:t>
            </w:r>
          </w:p>
        </w:tc>
      </w:tr>
    </w:tbl>
    <w:p w14:paraId="10BABCDB" w14:textId="77777777" w:rsidR="000B0854" w:rsidRPr="007258E4" w:rsidRDefault="000B0854" w:rsidP="000B0854">
      <w:pPr>
        <w:jc w:val="both"/>
        <w:rPr>
          <w:rFonts w:ascii="Times New Roman" w:hAnsi="Times New Roman" w:cs="Times New Roman"/>
          <w:bCs/>
          <w:color w:val="000000" w:themeColor="text1"/>
        </w:rPr>
      </w:pPr>
    </w:p>
    <w:p w14:paraId="6108A0CF" w14:textId="12338F2C" w:rsidR="00F17F60" w:rsidRPr="007258E4" w:rsidRDefault="0085355C" w:rsidP="00F17F60">
      <w:pPr>
        <w:jc w:val="both"/>
        <w:rPr>
          <w:rFonts w:ascii="Times New Roman" w:hAnsi="Times New Roman" w:cs="Times New Roman"/>
          <w:color w:val="000000" w:themeColor="text1"/>
        </w:rPr>
      </w:pPr>
      <w:r w:rsidRPr="007258E4">
        <w:rPr>
          <w:rFonts w:ascii="Times New Roman" w:hAnsi="Times New Roman" w:cs="Times New Roman"/>
          <w:b/>
          <w:color w:val="000000" w:themeColor="text1"/>
        </w:rPr>
        <w:t>Conclusion</w:t>
      </w:r>
    </w:p>
    <w:p w14:paraId="7852593E" w14:textId="77777777" w:rsidR="00FC67A7" w:rsidRPr="007258E4" w:rsidRDefault="00FC67A7" w:rsidP="00FC67A7">
      <w:pPr>
        <w:jc w:val="both"/>
        <w:rPr>
          <w:rFonts w:ascii="Times New Roman" w:hAnsi="Times New Roman" w:cs="Times New Roman"/>
          <w:color w:val="000000" w:themeColor="text1"/>
        </w:rPr>
      </w:pPr>
      <w:r w:rsidRPr="007258E4">
        <w:rPr>
          <w:rFonts w:ascii="Times New Roman" w:hAnsi="Times New Roman" w:cs="Times New Roman"/>
          <w:color w:val="000000" w:themeColor="text1"/>
        </w:rPr>
        <w:t xml:space="preserve">Cet article ne prétend pas être une analyse approfondie des données de ces deux larges sondages. Des traitements complémentaires pourraient permettre de mieux situer les pays les uns par rapport aux autres. La comparaison 2013/2011 tout comme le portrait 2013 ne sont que des indications de positionnement relatif, et ne remplacent pas les enquêtes nationales, que ces études européennes viennent compléter. L’ensemble de ces données peut être utilisé pour se comparer, ce qui est toujours une bonne manière de s’évaluer, et, partant, de progresser. </w:t>
      </w:r>
    </w:p>
    <w:p w14:paraId="0A368DBF" w14:textId="77777777" w:rsidR="00FC67A7" w:rsidRPr="007258E4" w:rsidRDefault="00FC67A7" w:rsidP="00F17F60">
      <w:pPr>
        <w:jc w:val="both"/>
        <w:rPr>
          <w:rFonts w:ascii="Times New Roman" w:hAnsi="Times New Roman" w:cs="Times New Roman"/>
          <w:color w:val="000000" w:themeColor="text1"/>
        </w:rPr>
      </w:pPr>
    </w:p>
    <w:p w14:paraId="6ED50813" w14:textId="20FE1A0A" w:rsidR="00F17F60" w:rsidRPr="007258E4" w:rsidRDefault="00FD1B54" w:rsidP="00F17F60">
      <w:pPr>
        <w:jc w:val="both"/>
        <w:rPr>
          <w:rFonts w:ascii="Times New Roman" w:hAnsi="Times New Roman" w:cs="Times New Roman"/>
          <w:color w:val="000000" w:themeColor="text1"/>
        </w:rPr>
      </w:pPr>
      <w:r w:rsidRPr="007258E4">
        <w:rPr>
          <w:rFonts w:ascii="Times New Roman" w:hAnsi="Times New Roman" w:cs="Times New Roman"/>
          <w:color w:val="000000" w:themeColor="text1"/>
        </w:rPr>
        <w:t xml:space="preserve">Cette contribution </w:t>
      </w:r>
      <w:proofErr w:type="gramStart"/>
      <w:r w:rsidRPr="007258E4">
        <w:rPr>
          <w:rFonts w:ascii="Times New Roman" w:hAnsi="Times New Roman" w:cs="Times New Roman"/>
          <w:color w:val="000000" w:themeColor="text1"/>
        </w:rPr>
        <w:t>a</w:t>
      </w:r>
      <w:proofErr w:type="gramEnd"/>
      <w:r w:rsidRPr="007258E4">
        <w:rPr>
          <w:rFonts w:ascii="Times New Roman" w:hAnsi="Times New Roman" w:cs="Times New Roman"/>
          <w:color w:val="000000" w:themeColor="text1"/>
        </w:rPr>
        <w:t xml:space="preserve"> une vocation essentiellement informative, pour situer, principalement en 2013, les niveaux de satisfaction ferroviaire (baptisons-les ainsi) en France et en Europe. On peut tout de même tirer d</w:t>
      </w:r>
      <w:r w:rsidR="00F17F60" w:rsidRPr="007258E4">
        <w:rPr>
          <w:rFonts w:ascii="Times New Roman" w:hAnsi="Times New Roman" w:cs="Times New Roman"/>
          <w:color w:val="000000" w:themeColor="text1"/>
        </w:rPr>
        <w:t>eux principaux enseignements d’une comparaison 2013/2011</w:t>
      </w:r>
      <w:r w:rsidRPr="007258E4">
        <w:rPr>
          <w:rFonts w:ascii="Times New Roman" w:hAnsi="Times New Roman" w:cs="Times New Roman"/>
          <w:color w:val="000000" w:themeColor="text1"/>
        </w:rPr>
        <w:t>.</w:t>
      </w:r>
    </w:p>
    <w:p w14:paraId="7DA3A454" w14:textId="77777777" w:rsidR="00F17F60" w:rsidRPr="007258E4" w:rsidRDefault="00F17F60" w:rsidP="00F17F60">
      <w:pPr>
        <w:jc w:val="both"/>
        <w:rPr>
          <w:rFonts w:ascii="Times New Roman" w:hAnsi="Times New Roman" w:cs="Times New Roman"/>
          <w:color w:val="000000" w:themeColor="text1"/>
        </w:rPr>
      </w:pPr>
    </w:p>
    <w:p w14:paraId="04A4B2DA" w14:textId="241FD63D" w:rsidR="00F17F60" w:rsidRPr="007258E4" w:rsidRDefault="00397378" w:rsidP="00F17F60">
      <w:pPr>
        <w:jc w:val="both"/>
        <w:rPr>
          <w:rFonts w:ascii="Times New Roman" w:hAnsi="Times New Roman" w:cs="Times New Roman"/>
          <w:color w:val="000000" w:themeColor="text1"/>
        </w:rPr>
      </w:pPr>
      <w:r w:rsidRPr="007258E4">
        <w:rPr>
          <w:rFonts w:ascii="Times New Roman" w:hAnsi="Times New Roman" w:cs="Times New Roman"/>
          <w:color w:val="000000" w:themeColor="text1"/>
        </w:rPr>
        <w:t>On note, d’abord, d</w:t>
      </w:r>
      <w:r w:rsidR="00F17F60" w:rsidRPr="007258E4">
        <w:rPr>
          <w:rFonts w:ascii="Times New Roman" w:hAnsi="Times New Roman" w:cs="Times New Roman"/>
          <w:color w:val="000000" w:themeColor="text1"/>
        </w:rPr>
        <w:t xml:space="preserve">es progrès relatifs pour la </w:t>
      </w:r>
      <w:r w:rsidRPr="007258E4">
        <w:rPr>
          <w:rFonts w:ascii="Times New Roman" w:hAnsi="Times New Roman" w:cs="Times New Roman"/>
          <w:color w:val="000000" w:themeColor="text1"/>
        </w:rPr>
        <w:t>France. Les i</w:t>
      </w:r>
      <w:r w:rsidR="00F17F60" w:rsidRPr="007258E4">
        <w:rPr>
          <w:rFonts w:ascii="Times New Roman" w:hAnsi="Times New Roman" w:cs="Times New Roman"/>
          <w:color w:val="000000" w:themeColor="text1"/>
        </w:rPr>
        <w:t>ncontestables progrès français dans les classeme</w:t>
      </w:r>
      <w:r w:rsidRPr="007258E4">
        <w:rPr>
          <w:rFonts w:ascii="Times New Roman" w:hAnsi="Times New Roman" w:cs="Times New Roman"/>
          <w:color w:val="000000" w:themeColor="text1"/>
        </w:rPr>
        <w:t xml:space="preserve">nts européens depuis 2011 sont </w:t>
      </w:r>
      <w:proofErr w:type="gramStart"/>
      <w:r w:rsidRPr="007258E4">
        <w:rPr>
          <w:rFonts w:ascii="Times New Roman" w:hAnsi="Times New Roman" w:cs="Times New Roman"/>
          <w:color w:val="000000" w:themeColor="text1"/>
        </w:rPr>
        <w:t>tout</w:t>
      </w:r>
      <w:proofErr w:type="gramEnd"/>
      <w:r w:rsidRPr="007258E4">
        <w:rPr>
          <w:rFonts w:ascii="Times New Roman" w:hAnsi="Times New Roman" w:cs="Times New Roman"/>
          <w:color w:val="000000" w:themeColor="text1"/>
        </w:rPr>
        <w:t xml:space="preserve"> de même à pondérer par </w:t>
      </w:r>
      <w:r w:rsidR="00F17F60" w:rsidRPr="007258E4">
        <w:rPr>
          <w:rFonts w:ascii="Times New Roman" w:hAnsi="Times New Roman" w:cs="Times New Roman"/>
          <w:color w:val="000000" w:themeColor="text1"/>
        </w:rPr>
        <w:t xml:space="preserve">des niveaux de satisfaction qui ont significativement baissé en moyenne européenne et qui ont peu progressé en France. </w:t>
      </w:r>
      <w:r w:rsidRPr="007258E4">
        <w:rPr>
          <w:rFonts w:ascii="Times New Roman" w:hAnsi="Times New Roman" w:cs="Times New Roman"/>
          <w:color w:val="000000" w:themeColor="text1"/>
        </w:rPr>
        <w:t xml:space="preserve">Au-delà de cette relativisation, il apparaît que </w:t>
      </w:r>
      <w:r w:rsidR="00F17F60" w:rsidRPr="007258E4">
        <w:rPr>
          <w:rFonts w:ascii="Times New Roman" w:hAnsi="Times New Roman" w:cs="Times New Roman"/>
          <w:color w:val="000000" w:themeColor="text1"/>
        </w:rPr>
        <w:t>la satisfaction pour les gares situait la France généralement autour du 15ème rang européen</w:t>
      </w:r>
      <w:r w:rsidRPr="007258E4">
        <w:rPr>
          <w:rFonts w:ascii="Times New Roman" w:hAnsi="Times New Roman" w:cs="Times New Roman"/>
          <w:color w:val="000000" w:themeColor="text1"/>
        </w:rPr>
        <w:t xml:space="preserve"> en 2011. E</w:t>
      </w:r>
      <w:r w:rsidR="00F17F60" w:rsidRPr="007258E4">
        <w:rPr>
          <w:rFonts w:ascii="Times New Roman" w:hAnsi="Times New Roman" w:cs="Times New Roman"/>
          <w:color w:val="000000" w:themeColor="text1"/>
        </w:rPr>
        <w:t>n 2013 elle se situe autour du 4ème.</w:t>
      </w:r>
      <w:r w:rsidRPr="007258E4">
        <w:rPr>
          <w:rFonts w:ascii="Times New Roman" w:hAnsi="Times New Roman" w:cs="Times New Roman"/>
          <w:color w:val="000000" w:themeColor="text1"/>
        </w:rPr>
        <w:t xml:space="preserve"> </w:t>
      </w:r>
      <w:r w:rsidR="00F17F60" w:rsidRPr="007258E4">
        <w:rPr>
          <w:rFonts w:ascii="Times New Roman" w:hAnsi="Times New Roman" w:cs="Times New Roman"/>
          <w:color w:val="000000" w:themeColor="text1"/>
        </w:rPr>
        <w:t>Alors que la satisfaction pour les trains situait</w:t>
      </w:r>
      <w:r w:rsidRPr="007258E4">
        <w:rPr>
          <w:rFonts w:ascii="Times New Roman" w:hAnsi="Times New Roman" w:cs="Times New Roman"/>
          <w:color w:val="000000" w:themeColor="text1"/>
        </w:rPr>
        <w:t>, en 2011,</w:t>
      </w:r>
      <w:r w:rsidR="00F17F60" w:rsidRPr="007258E4">
        <w:rPr>
          <w:rFonts w:ascii="Times New Roman" w:hAnsi="Times New Roman" w:cs="Times New Roman"/>
          <w:color w:val="000000" w:themeColor="text1"/>
        </w:rPr>
        <w:t xml:space="preserve"> la France généralement autour du 20ème rang européen, en 2013 elle se situe autour du 8ème. </w:t>
      </w:r>
      <w:proofErr w:type="gramStart"/>
      <w:r w:rsidR="00F17F60" w:rsidRPr="007258E4">
        <w:rPr>
          <w:rFonts w:ascii="Times New Roman" w:hAnsi="Times New Roman" w:cs="Times New Roman"/>
          <w:color w:val="000000" w:themeColor="text1"/>
        </w:rPr>
        <w:t>Il y</w:t>
      </w:r>
      <w:proofErr w:type="gramEnd"/>
      <w:r w:rsidR="00F17F60" w:rsidRPr="007258E4">
        <w:rPr>
          <w:rFonts w:ascii="Times New Roman" w:hAnsi="Times New Roman" w:cs="Times New Roman"/>
          <w:color w:val="000000" w:themeColor="text1"/>
        </w:rPr>
        <w:t xml:space="preserve"> a certainement pas là que des effets liés aux évolutions de l’enquête, mais bien à la dégradation de la perception des services dans de nombreux pays et à son amélioration en France. </w:t>
      </w:r>
    </w:p>
    <w:p w14:paraId="3D6DFA49" w14:textId="77777777" w:rsidR="00F17F60" w:rsidRPr="007258E4" w:rsidRDefault="00F17F60" w:rsidP="00F17F60">
      <w:pPr>
        <w:jc w:val="both"/>
        <w:rPr>
          <w:rFonts w:ascii="Times New Roman" w:hAnsi="Times New Roman" w:cs="Times New Roman"/>
          <w:color w:val="000000" w:themeColor="text1"/>
        </w:rPr>
      </w:pPr>
      <w:r w:rsidRPr="007258E4">
        <w:rPr>
          <w:rFonts w:ascii="Times New Roman" w:hAnsi="Times New Roman" w:cs="Times New Roman"/>
          <w:color w:val="000000" w:themeColor="text1"/>
        </w:rPr>
        <w:t xml:space="preserve">
</w:t>
      </w:r>
    </w:p>
    <w:p w14:paraId="02C7106E" w14:textId="302A0BE1" w:rsidR="00687392" w:rsidRPr="007258E4" w:rsidRDefault="00FC67A7" w:rsidP="00F17F60">
      <w:pPr>
        <w:jc w:val="both"/>
        <w:rPr>
          <w:rFonts w:ascii="Times New Roman" w:hAnsi="Times New Roman" w:cs="Times New Roman"/>
          <w:color w:val="000000" w:themeColor="text1"/>
        </w:rPr>
      </w:pPr>
      <w:r w:rsidRPr="007258E4">
        <w:rPr>
          <w:rFonts w:ascii="Times New Roman" w:hAnsi="Times New Roman" w:cs="Times New Roman"/>
          <w:color w:val="000000" w:themeColor="text1"/>
        </w:rPr>
        <w:t xml:space="preserve">On relève, ensuite, une préférence aux gares. Les gares, en France, </w:t>
      </w:r>
      <w:r w:rsidR="00F17F60" w:rsidRPr="007258E4">
        <w:rPr>
          <w:rFonts w:ascii="Times New Roman" w:hAnsi="Times New Roman" w:cs="Times New Roman"/>
          <w:color w:val="000000" w:themeColor="text1"/>
        </w:rPr>
        <w:t xml:space="preserve">engrangent davantage de progression, en niveau absolu de satisfaction, que les trains. </w:t>
      </w:r>
      <w:r w:rsidRPr="007258E4">
        <w:rPr>
          <w:rFonts w:ascii="Times New Roman" w:hAnsi="Times New Roman" w:cs="Times New Roman"/>
          <w:color w:val="000000" w:themeColor="text1"/>
        </w:rPr>
        <w:t>Les</w:t>
      </w:r>
      <w:r w:rsidR="00F17F60" w:rsidRPr="007258E4">
        <w:rPr>
          <w:rFonts w:ascii="Times New Roman" w:hAnsi="Times New Roman" w:cs="Times New Roman"/>
          <w:color w:val="000000" w:themeColor="text1"/>
        </w:rPr>
        <w:t xml:space="preserve">, sur des éléments comparables de satisfaction (propreté et information), bénéficient aussi d’une satisfaction plus élevée. </w:t>
      </w:r>
    </w:p>
    <w:p w14:paraId="29CE0CED" w14:textId="77777777" w:rsidR="00687392" w:rsidRPr="007258E4" w:rsidRDefault="00687392" w:rsidP="00F17F60">
      <w:pPr>
        <w:jc w:val="both"/>
        <w:rPr>
          <w:rFonts w:ascii="Times New Roman" w:hAnsi="Times New Roman" w:cs="Times New Roman"/>
          <w:color w:val="000000" w:themeColor="text1"/>
        </w:rPr>
      </w:pPr>
    </w:p>
    <w:p w14:paraId="7621062A" w14:textId="2583DF40" w:rsidR="000013AD" w:rsidRPr="007258E4" w:rsidRDefault="00FC67A7" w:rsidP="00F17F60">
      <w:pPr>
        <w:jc w:val="both"/>
        <w:rPr>
          <w:rFonts w:ascii="Times New Roman" w:hAnsi="Times New Roman" w:cs="Times New Roman"/>
          <w:color w:val="000000" w:themeColor="text1"/>
        </w:rPr>
      </w:pPr>
      <w:r w:rsidRPr="007258E4">
        <w:rPr>
          <w:rFonts w:ascii="Times New Roman" w:hAnsi="Times New Roman" w:cs="Times New Roman"/>
          <w:color w:val="000000" w:themeColor="text1"/>
        </w:rPr>
        <w:t xml:space="preserve">Une dernière remarque </w:t>
      </w:r>
      <w:proofErr w:type="gramStart"/>
      <w:r w:rsidRPr="007258E4">
        <w:rPr>
          <w:rFonts w:ascii="Times New Roman" w:hAnsi="Times New Roman" w:cs="Times New Roman"/>
          <w:color w:val="000000" w:themeColor="text1"/>
        </w:rPr>
        <w:t>a</w:t>
      </w:r>
      <w:proofErr w:type="gramEnd"/>
      <w:r w:rsidRPr="007258E4">
        <w:rPr>
          <w:rFonts w:ascii="Times New Roman" w:hAnsi="Times New Roman" w:cs="Times New Roman"/>
          <w:color w:val="000000" w:themeColor="text1"/>
        </w:rPr>
        <w:t xml:space="preserve"> son intérêt. </w:t>
      </w:r>
      <w:r w:rsidR="000013AD" w:rsidRPr="007258E4">
        <w:rPr>
          <w:rFonts w:ascii="Times New Roman" w:hAnsi="Times New Roman" w:cs="Times New Roman"/>
          <w:color w:val="000000" w:themeColor="text1"/>
        </w:rPr>
        <w:t>Le choix de présenter les graphiques en fonction d’un niveau croissant des « très satisfaits » peut sembler déformer la réalité. En effet, la satisfaction globale en France est généralement plus élevée que dans la moyenne de l’Union. Reste qu’il importe de bien préciser que les « très satisfaits » ne sont généralement pas nombreux, en 2011 comme en 2013, dans le contexte français. Il n’y a certainement pas là qu’un trait du caractère national</w:t>
      </w:r>
      <w:r w:rsidRPr="007258E4">
        <w:rPr>
          <w:rFonts w:ascii="Times New Roman" w:hAnsi="Times New Roman" w:cs="Times New Roman"/>
          <w:color w:val="000000" w:themeColor="text1"/>
        </w:rPr>
        <w:t>…</w:t>
      </w:r>
    </w:p>
    <w:p w14:paraId="11A8EFBD" w14:textId="77777777" w:rsidR="000013AD" w:rsidRPr="007258E4" w:rsidRDefault="000013AD" w:rsidP="00F17F60">
      <w:pPr>
        <w:jc w:val="both"/>
        <w:rPr>
          <w:rFonts w:ascii="Times New Roman" w:hAnsi="Times New Roman" w:cs="Times New Roman"/>
          <w:color w:val="000000" w:themeColor="text1"/>
        </w:rPr>
      </w:pPr>
    </w:p>
    <w:sectPr w:rsidR="000013AD" w:rsidRPr="007258E4" w:rsidSect="006E0EDE">
      <w:pgSz w:w="11901" w:h="16817"/>
      <w:pgMar w:top="567" w:right="1418" w:bottom="567" w:left="1418" w:header="709" w:footer="709" w:gutter="0"/>
      <w:cols w:space="708"/>
      <w:printerSettings r:id="rId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2CBA"/>
    <w:multiLevelType w:val="hybridMultilevel"/>
    <w:tmpl w:val="409ACB96"/>
    <w:lvl w:ilvl="0" w:tplc="E4145586">
      <w:start w:val="1"/>
      <w:numFmt w:val="bullet"/>
      <w:lvlText w:val="•"/>
      <w:lvlJc w:val="left"/>
      <w:pPr>
        <w:tabs>
          <w:tab w:val="num" w:pos="720"/>
        </w:tabs>
        <w:ind w:left="720" w:hanging="360"/>
      </w:pPr>
      <w:rPr>
        <w:rFonts w:ascii="Arial" w:hAnsi="Arial" w:hint="default"/>
      </w:rPr>
    </w:lvl>
    <w:lvl w:ilvl="1" w:tplc="69E05336" w:tentative="1">
      <w:start w:val="1"/>
      <w:numFmt w:val="bullet"/>
      <w:lvlText w:val="•"/>
      <w:lvlJc w:val="left"/>
      <w:pPr>
        <w:tabs>
          <w:tab w:val="num" w:pos="1440"/>
        </w:tabs>
        <w:ind w:left="1440" w:hanging="360"/>
      </w:pPr>
      <w:rPr>
        <w:rFonts w:ascii="Arial" w:hAnsi="Arial" w:hint="default"/>
      </w:rPr>
    </w:lvl>
    <w:lvl w:ilvl="2" w:tplc="C868E83C" w:tentative="1">
      <w:start w:val="1"/>
      <w:numFmt w:val="bullet"/>
      <w:lvlText w:val="•"/>
      <w:lvlJc w:val="left"/>
      <w:pPr>
        <w:tabs>
          <w:tab w:val="num" w:pos="2160"/>
        </w:tabs>
        <w:ind w:left="2160" w:hanging="360"/>
      </w:pPr>
      <w:rPr>
        <w:rFonts w:ascii="Arial" w:hAnsi="Arial" w:hint="default"/>
      </w:rPr>
    </w:lvl>
    <w:lvl w:ilvl="3" w:tplc="0C6600AC" w:tentative="1">
      <w:start w:val="1"/>
      <w:numFmt w:val="bullet"/>
      <w:lvlText w:val="•"/>
      <w:lvlJc w:val="left"/>
      <w:pPr>
        <w:tabs>
          <w:tab w:val="num" w:pos="2880"/>
        </w:tabs>
        <w:ind w:left="2880" w:hanging="360"/>
      </w:pPr>
      <w:rPr>
        <w:rFonts w:ascii="Arial" w:hAnsi="Arial" w:hint="default"/>
      </w:rPr>
    </w:lvl>
    <w:lvl w:ilvl="4" w:tplc="108415C8" w:tentative="1">
      <w:start w:val="1"/>
      <w:numFmt w:val="bullet"/>
      <w:lvlText w:val="•"/>
      <w:lvlJc w:val="left"/>
      <w:pPr>
        <w:tabs>
          <w:tab w:val="num" w:pos="3600"/>
        </w:tabs>
        <w:ind w:left="3600" w:hanging="360"/>
      </w:pPr>
      <w:rPr>
        <w:rFonts w:ascii="Arial" w:hAnsi="Arial" w:hint="default"/>
      </w:rPr>
    </w:lvl>
    <w:lvl w:ilvl="5" w:tplc="FE92AA14" w:tentative="1">
      <w:start w:val="1"/>
      <w:numFmt w:val="bullet"/>
      <w:lvlText w:val="•"/>
      <w:lvlJc w:val="left"/>
      <w:pPr>
        <w:tabs>
          <w:tab w:val="num" w:pos="4320"/>
        </w:tabs>
        <w:ind w:left="4320" w:hanging="360"/>
      </w:pPr>
      <w:rPr>
        <w:rFonts w:ascii="Arial" w:hAnsi="Arial" w:hint="default"/>
      </w:rPr>
    </w:lvl>
    <w:lvl w:ilvl="6" w:tplc="2FA8B540" w:tentative="1">
      <w:start w:val="1"/>
      <w:numFmt w:val="bullet"/>
      <w:lvlText w:val="•"/>
      <w:lvlJc w:val="left"/>
      <w:pPr>
        <w:tabs>
          <w:tab w:val="num" w:pos="5040"/>
        </w:tabs>
        <w:ind w:left="5040" w:hanging="360"/>
      </w:pPr>
      <w:rPr>
        <w:rFonts w:ascii="Arial" w:hAnsi="Arial" w:hint="default"/>
      </w:rPr>
    </w:lvl>
    <w:lvl w:ilvl="7" w:tplc="0CAEBE9C" w:tentative="1">
      <w:start w:val="1"/>
      <w:numFmt w:val="bullet"/>
      <w:lvlText w:val="•"/>
      <w:lvlJc w:val="left"/>
      <w:pPr>
        <w:tabs>
          <w:tab w:val="num" w:pos="5760"/>
        </w:tabs>
        <w:ind w:left="5760" w:hanging="360"/>
      </w:pPr>
      <w:rPr>
        <w:rFonts w:ascii="Arial" w:hAnsi="Arial" w:hint="default"/>
      </w:rPr>
    </w:lvl>
    <w:lvl w:ilvl="8" w:tplc="1F2653BA" w:tentative="1">
      <w:start w:val="1"/>
      <w:numFmt w:val="bullet"/>
      <w:lvlText w:val="•"/>
      <w:lvlJc w:val="left"/>
      <w:pPr>
        <w:tabs>
          <w:tab w:val="num" w:pos="6480"/>
        </w:tabs>
        <w:ind w:left="6480" w:hanging="360"/>
      </w:pPr>
      <w:rPr>
        <w:rFonts w:ascii="Arial" w:hAnsi="Arial" w:hint="default"/>
      </w:rPr>
    </w:lvl>
  </w:abstractNum>
  <w:abstractNum w:abstractNumId="1">
    <w:nsid w:val="2C061767"/>
    <w:multiLevelType w:val="hybridMultilevel"/>
    <w:tmpl w:val="F110B5CC"/>
    <w:lvl w:ilvl="0" w:tplc="F952524C">
      <w:start w:val="1"/>
      <w:numFmt w:val="bullet"/>
      <w:lvlText w:val="•"/>
      <w:lvlJc w:val="left"/>
      <w:pPr>
        <w:tabs>
          <w:tab w:val="num" w:pos="720"/>
        </w:tabs>
        <w:ind w:left="720" w:hanging="360"/>
      </w:pPr>
      <w:rPr>
        <w:rFonts w:ascii="Arial" w:hAnsi="Arial" w:hint="default"/>
      </w:rPr>
    </w:lvl>
    <w:lvl w:ilvl="1" w:tplc="AECC4EB4" w:tentative="1">
      <w:start w:val="1"/>
      <w:numFmt w:val="bullet"/>
      <w:lvlText w:val="•"/>
      <w:lvlJc w:val="left"/>
      <w:pPr>
        <w:tabs>
          <w:tab w:val="num" w:pos="1440"/>
        </w:tabs>
        <w:ind w:left="1440" w:hanging="360"/>
      </w:pPr>
      <w:rPr>
        <w:rFonts w:ascii="Arial" w:hAnsi="Arial" w:hint="default"/>
      </w:rPr>
    </w:lvl>
    <w:lvl w:ilvl="2" w:tplc="E63C18BA" w:tentative="1">
      <w:start w:val="1"/>
      <w:numFmt w:val="bullet"/>
      <w:lvlText w:val="•"/>
      <w:lvlJc w:val="left"/>
      <w:pPr>
        <w:tabs>
          <w:tab w:val="num" w:pos="2160"/>
        </w:tabs>
        <w:ind w:left="2160" w:hanging="360"/>
      </w:pPr>
      <w:rPr>
        <w:rFonts w:ascii="Arial" w:hAnsi="Arial" w:hint="default"/>
      </w:rPr>
    </w:lvl>
    <w:lvl w:ilvl="3" w:tplc="ED16137A" w:tentative="1">
      <w:start w:val="1"/>
      <w:numFmt w:val="bullet"/>
      <w:lvlText w:val="•"/>
      <w:lvlJc w:val="left"/>
      <w:pPr>
        <w:tabs>
          <w:tab w:val="num" w:pos="2880"/>
        </w:tabs>
        <w:ind w:left="2880" w:hanging="360"/>
      </w:pPr>
      <w:rPr>
        <w:rFonts w:ascii="Arial" w:hAnsi="Arial" w:hint="default"/>
      </w:rPr>
    </w:lvl>
    <w:lvl w:ilvl="4" w:tplc="730CF530" w:tentative="1">
      <w:start w:val="1"/>
      <w:numFmt w:val="bullet"/>
      <w:lvlText w:val="•"/>
      <w:lvlJc w:val="left"/>
      <w:pPr>
        <w:tabs>
          <w:tab w:val="num" w:pos="3600"/>
        </w:tabs>
        <w:ind w:left="3600" w:hanging="360"/>
      </w:pPr>
      <w:rPr>
        <w:rFonts w:ascii="Arial" w:hAnsi="Arial" w:hint="default"/>
      </w:rPr>
    </w:lvl>
    <w:lvl w:ilvl="5" w:tplc="DB18BEDE" w:tentative="1">
      <w:start w:val="1"/>
      <w:numFmt w:val="bullet"/>
      <w:lvlText w:val="•"/>
      <w:lvlJc w:val="left"/>
      <w:pPr>
        <w:tabs>
          <w:tab w:val="num" w:pos="4320"/>
        </w:tabs>
        <w:ind w:left="4320" w:hanging="360"/>
      </w:pPr>
      <w:rPr>
        <w:rFonts w:ascii="Arial" w:hAnsi="Arial" w:hint="default"/>
      </w:rPr>
    </w:lvl>
    <w:lvl w:ilvl="6" w:tplc="C69CCFC8" w:tentative="1">
      <w:start w:val="1"/>
      <w:numFmt w:val="bullet"/>
      <w:lvlText w:val="•"/>
      <w:lvlJc w:val="left"/>
      <w:pPr>
        <w:tabs>
          <w:tab w:val="num" w:pos="5040"/>
        </w:tabs>
        <w:ind w:left="5040" w:hanging="360"/>
      </w:pPr>
      <w:rPr>
        <w:rFonts w:ascii="Arial" w:hAnsi="Arial" w:hint="default"/>
      </w:rPr>
    </w:lvl>
    <w:lvl w:ilvl="7" w:tplc="A112C806" w:tentative="1">
      <w:start w:val="1"/>
      <w:numFmt w:val="bullet"/>
      <w:lvlText w:val="•"/>
      <w:lvlJc w:val="left"/>
      <w:pPr>
        <w:tabs>
          <w:tab w:val="num" w:pos="5760"/>
        </w:tabs>
        <w:ind w:left="5760" w:hanging="360"/>
      </w:pPr>
      <w:rPr>
        <w:rFonts w:ascii="Arial" w:hAnsi="Arial" w:hint="default"/>
      </w:rPr>
    </w:lvl>
    <w:lvl w:ilvl="8" w:tplc="324281D2" w:tentative="1">
      <w:start w:val="1"/>
      <w:numFmt w:val="bullet"/>
      <w:lvlText w:val="•"/>
      <w:lvlJc w:val="left"/>
      <w:pPr>
        <w:tabs>
          <w:tab w:val="num" w:pos="6480"/>
        </w:tabs>
        <w:ind w:left="6480" w:hanging="360"/>
      </w:pPr>
      <w:rPr>
        <w:rFonts w:ascii="Arial" w:hAnsi="Arial" w:hint="default"/>
      </w:rPr>
    </w:lvl>
  </w:abstractNum>
  <w:abstractNum w:abstractNumId="2">
    <w:nsid w:val="37BB31F8"/>
    <w:multiLevelType w:val="hybridMultilevel"/>
    <w:tmpl w:val="B878431A"/>
    <w:lvl w:ilvl="0" w:tplc="3BA0D3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8A"/>
    <w:rsid w:val="000013AD"/>
    <w:rsid w:val="00001420"/>
    <w:rsid w:val="000508F2"/>
    <w:rsid w:val="000B0854"/>
    <w:rsid w:val="000B6B03"/>
    <w:rsid w:val="000F388A"/>
    <w:rsid w:val="00123D65"/>
    <w:rsid w:val="001327DD"/>
    <w:rsid w:val="00165D2A"/>
    <w:rsid w:val="00282887"/>
    <w:rsid w:val="002A4DAE"/>
    <w:rsid w:val="00321325"/>
    <w:rsid w:val="00335DDF"/>
    <w:rsid w:val="003844FF"/>
    <w:rsid w:val="00397378"/>
    <w:rsid w:val="00451340"/>
    <w:rsid w:val="00474757"/>
    <w:rsid w:val="00606775"/>
    <w:rsid w:val="00644A11"/>
    <w:rsid w:val="00687392"/>
    <w:rsid w:val="006E0EDE"/>
    <w:rsid w:val="007258E4"/>
    <w:rsid w:val="007F2A08"/>
    <w:rsid w:val="00847B96"/>
    <w:rsid w:val="0085355C"/>
    <w:rsid w:val="00890280"/>
    <w:rsid w:val="008F2D8A"/>
    <w:rsid w:val="009C0D45"/>
    <w:rsid w:val="00AD6B11"/>
    <w:rsid w:val="00B24266"/>
    <w:rsid w:val="00B33891"/>
    <w:rsid w:val="00B464C3"/>
    <w:rsid w:val="00B8132C"/>
    <w:rsid w:val="00BF617C"/>
    <w:rsid w:val="00C76184"/>
    <w:rsid w:val="00D54B10"/>
    <w:rsid w:val="00D917F2"/>
    <w:rsid w:val="00DC0B54"/>
    <w:rsid w:val="00DD3E94"/>
    <w:rsid w:val="00DE4D04"/>
    <w:rsid w:val="00E429CF"/>
    <w:rsid w:val="00E935D7"/>
    <w:rsid w:val="00EB24DF"/>
    <w:rsid w:val="00ED761F"/>
    <w:rsid w:val="00F17F60"/>
    <w:rsid w:val="00F54B1F"/>
    <w:rsid w:val="00FC67A7"/>
    <w:rsid w:val="00FD1B54"/>
    <w:rsid w:val="00FF34C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C3A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4C3"/>
    <w:rPr>
      <w:sz w:val="24"/>
      <w:szCs w:val="24"/>
    </w:rPr>
  </w:style>
  <w:style w:type="paragraph" w:styleId="Titre1">
    <w:name w:val="heading 1"/>
    <w:basedOn w:val="Normal"/>
    <w:next w:val="Normal"/>
    <w:link w:val="Titre1Car"/>
    <w:rsid w:val="001327DD"/>
    <w:pPr>
      <w:keepNext/>
      <w:outlineLvl w:val="0"/>
    </w:pPr>
    <w:rPr>
      <w:rFonts w:ascii="Times New Roman" w:eastAsiaTheme="majorEastAsia" w:hAnsi="Times New Roman" w:cstheme="majorBidi"/>
      <w:b/>
      <w:bCs/>
      <w:kern w:val="32"/>
      <w:szCs w:val="32"/>
      <w:lang w:eastAsia="en-US"/>
    </w:rPr>
  </w:style>
  <w:style w:type="paragraph" w:styleId="Titre2">
    <w:name w:val="heading 2"/>
    <w:basedOn w:val="Normal"/>
    <w:next w:val="Normal"/>
    <w:link w:val="Titre2Car"/>
    <w:uiPriority w:val="9"/>
    <w:semiHidden/>
    <w:unhideWhenUsed/>
    <w:qFormat/>
    <w:rsid w:val="004747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OK">
    <w:name w:val="Titre 2 OK"/>
    <w:basedOn w:val="Titre2"/>
    <w:qFormat/>
    <w:rsid w:val="00474757"/>
    <w:pPr>
      <w:keepLines w:val="0"/>
      <w:spacing w:before="0"/>
    </w:pPr>
    <w:rPr>
      <w:rFonts w:ascii="Times New Roman" w:eastAsia="Times New Roman" w:hAnsi="Times New Roman" w:cs="Arial"/>
      <w:iCs/>
      <w:color w:val="auto"/>
      <w:sz w:val="24"/>
      <w:szCs w:val="28"/>
      <w:lang w:eastAsia="fr-FR"/>
    </w:rPr>
  </w:style>
  <w:style w:type="character" w:customStyle="1" w:styleId="Titre2Car">
    <w:name w:val="Titre 2 Car"/>
    <w:basedOn w:val="Policepardfaut"/>
    <w:link w:val="Titre2"/>
    <w:uiPriority w:val="9"/>
    <w:semiHidden/>
    <w:rsid w:val="00474757"/>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rsid w:val="001327DD"/>
    <w:rPr>
      <w:rFonts w:ascii="Times New Roman" w:eastAsiaTheme="majorEastAsia" w:hAnsi="Times New Roman" w:cstheme="majorBidi"/>
      <w:b/>
      <w:bCs/>
      <w:kern w:val="32"/>
      <w:sz w:val="24"/>
      <w:szCs w:val="32"/>
      <w:lang w:eastAsia="en-US"/>
    </w:rPr>
  </w:style>
  <w:style w:type="character" w:styleId="Lienhypertexte">
    <w:name w:val="Hyperlink"/>
    <w:basedOn w:val="Policepardfaut"/>
    <w:uiPriority w:val="99"/>
    <w:unhideWhenUsed/>
    <w:rsid w:val="00687392"/>
    <w:rPr>
      <w:color w:val="0000FF" w:themeColor="hyperlink"/>
      <w:u w:val="single"/>
    </w:rPr>
  </w:style>
  <w:style w:type="paragraph" w:styleId="NormalWeb">
    <w:name w:val="Normal (Web)"/>
    <w:basedOn w:val="Normal"/>
    <w:uiPriority w:val="99"/>
    <w:unhideWhenUsed/>
    <w:rsid w:val="00BF617C"/>
    <w:pPr>
      <w:spacing w:before="100" w:beforeAutospacing="1" w:after="100" w:afterAutospacing="1"/>
    </w:pPr>
    <w:rPr>
      <w:rFonts w:ascii="Times" w:hAnsi="Times" w:cs="Times New Roman"/>
      <w:sz w:val="20"/>
      <w:szCs w:val="20"/>
      <w:lang w:eastAsia="fr-FR"/>
    </w:rPr>
  </w:style>
  <w:style w:type="paragraph" w:styleId="Paragraphedeliste">
    <w:name w:val="List Paragraph"/>
    <w:basedOn w:val="Normal"/>
    <w:uiPriority w:val="34"/>
    <w:qFormat/>
    <w:rsid w:val="00BF617C"/>
    <w:pPr>
      <w:ind w:left="720"/>
      <w:contextualSpacing/>
    </w:pPr>
  </w:style>
  <w:style w:type="paragraph" w:styleId="Textedebulles">
    <w:name w:val="Balloon Text"/>
    <w:basedOn w:val="Normal"/>
    <w:link w:val="TextedebullesCar"/>
    <w:uiPriority w:val="99"/>
    <w:semiHidden/>
    <w:unhideWhenUsed/>
    <w:rsid w:val="00E935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935D7"/>
    <w:rPr>
      <w:rFonts w:ascii="Lucida Grande" w:hAnsi="Lucida Grande" w:cs="Lucida Grande"/>
      <w:sz w:val="18"/>
      <w:szCs w:val="18"/>
    </w:rPr>
  </w:style>
  <w:style w:type="table" w:styleId="Grille">
    <w:name w:val="Table Grid"/>
    <w:basedOn w:val="TableauNormal"/>
    <w:uiPriority w:val="59"/>
    <w:rsid w:val="00F17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4C3"/>
    <w:rPr>
      <w:sz w:val="24"/>
      <w:szCs w:val="24"/>
    </w:rPr>
  </w:style>
  <w:style w:type="paragraph" w:styleId="Titre1">
    <w:name w:val="heading 1"/>
    <w:basedOn w:val="Normal"/>
    <w:next w:val="Normal"/>
    <w:link w:val="Titre1Car"/>
    <w:rsid w:val="001327DD"/>
    <w:pPr>
      <w:keepNext/>
      <w:outlineLvl w:val="0"/>
    </w:pPr>
    <w:rPr>
      <w:rFonts w:ascii="Times New Roman" w:eastAsiaTheme="majorEastAsia" w:hAnsi="Times New Roman" w:cstheme="majorBidi"/>
      <w:b/>
      <w:bCs/>
      <w:kern w:val="32"/>
      <w:szCs w:val="32"/>
      <w:lang w:eastAsia="en-US"/>
    </w:rPr>
  </w:style>
  <w:style w:type="paragraph" w:styleId="Titre2">
    <w:name w:val="heading 2"/>
    <w:basedOn w:val="Normal"/>
    <w:next w:val="Normal"/>
    <w:link w:val="Titre2Car"/>
    <w:uiPriority w:val="9"/>
    <w:semiHidden/>
    <w:unhideWhenUsed/>
    <w:qFormat/>
    <w:rsid w:val="004747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OK">
    <w:name w:val="Titre 2 OK"/>
    <w:basedOn w:val="Titre2"/>
    <w:qFormat/>
    <w:rsid w:val="00474757"/>
    <w:pPr>
      <w:keepLines w:val="0"/>
      <w:spacing w:before="0"/>
    </w:pPr>
    <w:rPr>
      <w:rFonts w:ascii="Times New Roman" w:eastAsia="Times New Roman" w:hAnsi="Times New Roman" w:cs="Arial"/>
      <w:iCs/>
      <w:color w:val="auto"/>
      <w:sz w:val="24"/>
      <w:szCs w:val="28"/>
      <w:lang w:eastAsia="fr-FR"/>
    </w:rPr>
  </w:style>
  <w:style w:type="character" w:customStyle="1" w:styleId="Titre2Car">
    <w:name w:val="Titre 2 Car"/>
    <w:basedOn w:val="Policepardfaut"/>
    <w:link w:val="Titre2"/>
    <w:uiPriority w:val="9"/>
    <w:semiHidden/>
    <w:rsid w:val="00474757"/>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rsid w:val="001327DD"/>
    <w:rPr>
      <w:rFonts w:ascii="Times New Roman" w:eastAsiaTheme="majorEastAsia" w:hAnsi="Times New Roman" w:cstheme="majorBidi"/>
      <w:b/>
      <w:bCs/>
      <w:kern w:val="32"/>
      <w:sz w:val="24"/>
      <w:szCs w:val="32"/>
      <w:lang w:eastAsia="en-US"/>
    </w:rPr>
  </w:style>
  <w:style w:type="character" w:styleId="Lienhypertexte">
    <w:name w:val="Hyperlink"/>
    <w:basedOn w:val="Policepardfaut"/>
    <w:uiPriority w:val="99"/>
    <w:unhideWhenUsed/>
    <w:rsid w:val="00687392"/>
    <w:rPr>
      <w:color w:val="0000FF" w:themeColor="hyperlink"/>
      <w:u w:val="single"/>
    </w:rPr>
  </w:style>
  <w:style w:type="paragraph" w:styleId="NormalWeb">
    <w:name w:val="Normal (Web)"/>
    <w:basedOn w:val="Normal"/>
    <w:uiPriority w:val="99"/>
    <w:unhideWhenUsed/>
    <w:rsid w:val="00BF617C"/>
    <w:pPr>
      <w:spacing w:before="100" w:beforeAutospacing="1" w:after="100" w:afterAutospacing="1"/>
    </w:pPr>
    <w:rPr>
      <w:rFonts w:ascii="Times" w:hAnsi="Times" w:cs="Times New Roman"/>
      <w:sz w:val="20"/>
      <w:szCs w:val="20"/>
      <w:lang w:eastAsia="fr-FR"/>
    </w:rPr>
  </w:style>
  <w:style w:type="paragraph" w:styleId="Paragraphedeliste">
    <w:name w:val="List Paragraph"/>
    <w:basedOn w:val="Normal"/>
    <w:uiPriority w:val="34"/>
    <w:qFormat/>
    <w:rsid w:val="00BF617C"/>
    <w:pPr>
      <w:ind w:left="720"/>
      <w:contextualSpacing/>
    </w:pPr>
  </w:style>
  <w:style w:type="paragraph" w:styleId="Textedebulles">
    <w:name w:val="Balloon Text"/>
    <w:basedOn w:val="Normal"/>
    <w:link w:val="TextedebullesCar"/>
    <w:uiPriority w:val="99"/>
    <w:semiHidden/>
    <w:unhideWhenUsed/>
    <w:rsid w:val="00E935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935D7"/>
    <w:rPr>
      <w:rFonts w:ascii="Lucida Grande" w:hAnsi="Lucida Grande" w:cs="Lucida Grande"/>
      <w:sz w:val="18"/>
      <w:szCs w:val="18"/>
    </w:rPr>
  </w:style>
  <w:style w:type="table" w:styleId="Grille">
    <w:name w:val="Table Grid"/>
    <w:basedOn w:val="TableauNormal"/>
    <w:uiPriority w:val="59"/>
    <w:rsid w:val="00F17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6909">
      <w:bodyDiv w:val="1"/>
      <w:marLeft w:val="0"/>
      <w:marRight w:val="0"/>
      <w:marTop w:val="0"/>
      <w:marBottom w:val="0"/>
      <w:divBdr>
        <w:top w:val="none" w:sz="0" w:space="0" w:color="auto"/>
        <w:left w:val="none" w:sz="0" w:space="0" w:color="auto"/>
        <w:bottom w:val="none" w:sz="0" w:space="0" w:color="auto"/>
        <w:right w:val="none" w:sz="0" w:space="0" w:color="auto"/>
      </w:divBdr>
      <w:divsChild>
        <w:div w:id="1790397154">
          <w:marLeft w:val="547"/>
          <w:marRight w:val="0"/>
          <w:marTop w:val="0"/>
          <w:marBottom w:val="0"/>
          <w:divBdr>
            <w:top w:val="none" w:sz="0" w:space="0" w:color="auto"/>
            <w:left w:val="none" w:sz="0" w:space="0" w:color="auto"/>
            <w:bottom w:val="none" w:sz="0" w:space="0" w:color="auto"/>
            <w:right w:val="none" w:sz="0" w:space="0" w:color="auto"/>
          </w:divBdr>
        </w:div>
        <w:div w:id="1865315921">
          <w:marLeft w:val="547"/>
          <w:marRight w:val="0"/>
          <w:marTop w:val="0"/>
          <w:marBottom w:val="0"/>
          <w:divBdr>
            <w:top w:val="none" w:sz="0" w:space="0" w:color="auto"/>
            <w:left w:val="none" w:sz="0" w:space="0" w:color="auto"/>
            <w:bottom w:val="none" w:sz="0" w:space="0" w:color="auto"/>
            <w:right w:val="none" w:sz="0" w:space="0" w:color="auto"/>
          </w:divBdr>
        </w:div>
        <w:div w:id="2004627977">
          <w:marLeft w:val="547"/>
          <w:marRight w:val="0"/>
          <w:marTop w:val="0"/>
          <w:marBottom w:val="0"/>
          <w:divBdr>
            <w:top w:val="none" w:sz="0" w:space="0" w:color="auto"/>
            <w:left w:val="none" w:sz="0" w:space="0" w:color="auto"/>
            <w:bottom w:val="none" w:sz="0" w:space="0" w:color="auto"/>
            <w:right w:val="none" w:sz="0" w:space="0" w:color="auto"/>
          </w:divBdr>
        </w:div>
        <w:div w:id="780999521">
          <w:marLeft w:val="547"/>
          <w:marRight w:val="0"/>
          <w:marTop w:val="0"/>
          <w:marBottom w:val="0"/>
          <w:divBdr>
            <w:top w:val="none" w:sz="0" w:space="0" w:color="auto"/>
            <w:left w:val="none" w:sz="0" w:space="0" w:color="auto"/>
            <w:bottom w:val="none" w:sz="0" w:space="0" w:color="auto"/>
            <w:right w:val="none" w:sz="0" w:space="0" w:color="auto"/>
          </w:divBdr>
        </w:div>
        <w:div w:id="2028093799">
          <w:marLeft w:val="547"/>
          <w:marRight w:val="0"/>
          <w:marTop w:val="0"/>
          <w:marBottom w:val="0"/>
          <w:divBdr>
            <w:top w:val="none" w:sz="0" w:space="0" w:color="auto"/>
            <w:left w:val="none" w:sz="0" w:space="0" w:color="auto"/>
            <w:bottom w:val="none" w:sz="0" w:space="0" w:color="auto"/>
            <w:right w:val="none" w:sz="0" w:space="0" w:color="auto"/>
          </w:divBdr>
        </w:div>
        <w:div w:id="1264529451">
          <w:marLeft w:val="547"/>
          <w:marRight w:val="0"/>
          <w:marTop w:val="0"/>
          <w:marBottom w:val="0"/>
          <w:divBdr>
            <w:top w:val="none" w:sz="0" w:space="0" w:color="auto"/>
            <w:left w:val="none" w:sz="0" w:space="0" w:color="auto"/>
            <w:bottom w:val="none" w:sz="0" w:space="0" w:color="auto"/>
            <w:right w:val="none" w:sz="0" w:space="0" w:color="auto"/>
          </w:divBdr>
        </w:div>
      </w:divsChild>
    </w:div>
    <w:div w:id="131406826">
      <w:bodyDiv w:val="1"/>
      <w:marLeft w:val="0"/>
      <w:marRight w:val="0"/>
      <w:marTop w:val="0"/>
      <w:marBottom w:val="0"/>
      <w:divBdr>
        <w:top w:val="none" w:sz="0" w:space="0" w:color="auto"/>
        <w:left w:val="none" w:sz="0" w:space="0" w:color="auto"/>
        <w:bottom w:val="none" w:sz="0" w:space="0" w:color="auto"/>
        <w:right w:val="none" w:sz="0" w:space="0" w:color="auto"/>
      </w:divBdr>
    </w:div>
    <w:div w:id="177432507">
      <w:bodyDiv w:val="1"/>
      <w:marLeft w:val="0"/>
      <w:marRight w:val="0"/>
      <w:marTop w:val="0"/>
      <w:marBottom w:val="0"/>
      <w:divBdr>
        <w:top w:val="none" w:sz="0" w:space="0" w:color="auto"/>
        <w:left w:val="none" w:sz="0" w:space="0" w:color="auto"/>
        <w:bottom w:val="none" w:sz="0" w:space="0" w:color="auto"/>
        <w:right w:val="none" w:sz="0" w:space="0" w:color="auto"/>
      </w:divBdr>
    </w:div>
    <w:div w:id="244188923">
      <w:bodyDiv w:val="1"/>
      <w:marLeft w:val="0"/>
      <w:marRight w:val="0"/>
      <w:marTop w:val="0"/>
      <w:marBottom w:val="0"/>
      <w:divBdr>
        <w:top w:val="none" w:sz="0" w:space="0" w:color="auto"/>
        <w:left w:val="none" w:sz="0" w:space="0" w:color="auto"/>
        <w:bottom w:val="none" w:sz="0" w:space="0" w:color="auto"/>
        <w:right w:val="none" w:sz="0" w:space="0" w:color="auto"/>
      </w:divBdr>
    </w:div>
    <w:div w:id="316690695">
      <w:bodyDiv w:val="1"/>
      <w:marLeft w:val="0"/>
      <w:marRight w:val="0"/>
      <w:marTop w:val="0"/>
      <w:marBottom w:val="0"/>
      <w:divBdr>
        <w:top w:val="none" w:sz="0" w:space="0" w:color="auto"/>
        <w:left w:val="none" w:sz="0" w:space="0" w:color="auto"/>
        <w:bottom w:val="none" w:sz="0" w:space="0" w:color="auto"/>
        <w:right w:val="none" w:sz="0" w:space="0" w:color="auto"/>
      </w:divBdr>
    </w:div>
    <w:div w:id="318507453">
      <w:bodyDiv w:val="1"/>
      <w:marLeft w:val="0"/>
      <w:marRight w:val="0"/>
      <w:marTop w:val="0"/>
      <w:marBottom w:val="0"/>
      <w:divBdr>
        <w:top w:val="none" w:sz="0" w:space="0" w:color="auto"/>
        <w:left w:val="none" w:sz="0" w:space="0" w:color="auto"/>
        <w:bottom w:val="none" w:sz="0" w:space="0" w:color="auto"/>
        <w:right w:val="none" w:sz="0" w:space="0" w:color="auto"/>
      </w:divBdr>
    </w:div>
    <w:div w:id="365958240">
      <w:bodyDiv w:val="1"/>
      <w:marLeft w:val="0"/>
      <w:marRight w:val="0"/>
      <w:marTop w:val="0"/>
      <w:marBottom w:val="0"/>
      <w:divBdr>
        <w:top w:val="none" w:sz="0" w:space="0" w:color="auto"/>
        <w:left w:val="none" w:sz="0" w:space="0" w:color="auto"/>
        <w:bottom w:val="none" w:sz="0" w:space="0" w:color="auto"/>
        <w:right w:val="none" w:sz="0" w:space="0" w:color="auto"/>
      </w:divBdr>
    </w:div>
    <w:div w:id="418257706">
      <w:bodyDiv w:val="1"/>
      <w:marLeft w:val="0"/>
      <w:marRight w:val="0"/>
      <w:marTop w:val="0"/>
      <w:marBottom w:val="0"/>
      <w:divBdr>
        <w:top w:val="none" w:sz="0" w:space="0" w:color="auto"/>
        <w:left w:val="none" w:sz="0" w:space="0" w:color="auto"/>
        <w:bottom w:val="none" w:sz="0" w:space="0" w:color="auto"/>
        <w:right w:val="none" w:sz="0" w:space="0" w:color="auto"/>
      </w:divBdr>
    </w:div>
    <w:div w:id="511453763">
      <w:bodyDiv w:val="1"/>
      <w:marLeft w:val="0"/>
      <w:marRight w:val="0"/>
      <w:marTop w:val="0"/>
      <w:marBottom w:val="0"/>
      <w:divBdr>
        <w:top w:val="none" w:sz="0" w:space="0" w:color="auto"/>
        <w:left w:val="none" w:sz="0" w:space="0" w:color="auto"/>
        <w:bottom w:val="none" w:sz="0" w:space="0" w:color="auto"/>
        <w:right w:val="none" w:sz="0" w:space="0" w:color="auto"/>
      </w:divBdr>
    </w:div>
    <w:div w:id="570312715">
      <w:bodyDiv w:val="1"/>
      <w:marLeft w:val="0"/>
      <w:marRight w:val="0"/>
      <w:marTop w:val="0"/>
      <w:marBottom w:val="0"/>
      <w:divBdr>
        <w:top w:val="none" w:sz="0" w:space="0" w:color="auto"/>
        <w:left w:val="none" w:sz="0" w:space="0" w:color="auto"/>
        <w:bottom w:val="none" w:sz="0" w:space="0" w:color="auto"/>
        <w:right w:val="none" w:sz="0" w:space="0" w:color="auto"/>
      </w:divBdr>
      <w:divsChild>
        <w:div w:id="1526283938">
          <w:marLeft w:val="547"/>
          <w:marRight w:val="0"/>
          <w:marTop w:val="115"/>
          <w:marBottom w:val="0"/>
          <w:divBdr>
            <w:top w:val="none" w:sz="0" w:space="0" w:color="auto"/>
            <w:left w:val="none" w:sz="0" w:space="0" w:color="auto"/>
            <w:bottom w:val="none" w:sz="0" w:space="0" w:color="auto"/>
            <w:right w:val="none" w:sz="0" w:space="0" w:color="auto"/>
          </w:divBdr>
        </w:div>
        <w:div w:id="1913347420">
          <w:marLeft w:val="547"/>
          <w:marRight w:val="0"/>
          <w:marTop w:val="115"/>
          <w:marBottom w:val="0"/>
          <w:divBdr>
            <w:top w:val="none" w:sz="0" w:space="0" w:color="auto"/>
            <w:left w:val="none" w:sz="0" w:space="0" w:color="auto"/>
            <w:bottom w:val="none" w:sz="0" w:space="0" w:color="auto"/>
            <w:right w:val="none" w:sz="0" w:space="0" w:color="auto"/>
          </w:divBdr>
        </w:div>
        <w:div w:id="1580821206">
          <w:marLeft w:val="547"/>
          <w:marRight w:val="0"/>
          <w:marTop w:val="115"/>
          <w:marBottom w:val="0"/>
          <w:divBdr>
            <w:top w:val="none" w:sz="0" w:space="0" w:color="auto"/>
            <w:left w:val="none" w:sz="0" w:space="0" w:color="auto"/>
            <w:bottom w:val="none" w:sz="0" w:space="0" w:color="auto"/>
            <w:right w:val="none" w:sz="0" w:space="0" w:color="auto"/>
          </w:divBdr>
        </w:div>
        <w:div w:id="161236111">
          <w:marLeft w:val="547"/>
          <w:marRight w:val="0"/>
          <w:marTop w:val="115"/>
          <w:marBottom w:val="0"/>
          <w:divBdr>
            <w:top w:val="none" w:sz="0" w:space="0" w:color="auto"/>
            <w:left w:val="none" w:sz="0" w:space="0" w:color="auto"/>
            <w:bottom w:val="none" w:sz="0" w:space="0" w:color="auto"/>
            <w:right w:val="none" w:sz="0" w:space="0" w:color="auto"/>
          </w:divBdr>
        </w:div>
        <w:div w:id="926158897">
          <w:marLeft w:val="547"/>
          <w:marRight w:val="0"/>
          <w:marTop w:val="115"/>
          <w:marBottom w:val="0"/>
          <w:divBdr>
            <w:top w:val="none" w:sz="0" w:space="0" w:color="auto"/>
            <w:left w:val="none" w:sz="0" w:space="0" w:color="auto"/>
            <w:bottom w:val="none" w:sz="0" w:space="0" w:color="auto"/>
            <w:right w:val="none" w:sz="0" w:space="0" w:color="auto"/>
          </w:divBdr>
        </w:div>
      </w:divsChild>
    </w:div>
    <w:div w:id="649595976">
      <w:bodyDiv w:val="1"/>
      <w:marLeft w:val="0"/>
      <w:marRight w:val="0"/>
      <w:marTop w:val="0"/>
      <w:marBottom w:val="0"/>
      <w:divBdr>
        <w:top w:val="none" w:sz="0" w:space="0" w:color="auto"/>
        <w:left w:val="none" w:sz="0" w:space="0" w:color="auto"/>
        <w:bottom w:val="none" w:sz="0" w:space="0" w:color="auto"/>
        <w:right w:val="none" w:sz="0" w:space="0" w:color="auto"/>
      </w:divBdr>
    </w:div>
    <w:div w:id="700714984">
      <w:bodyDiv w:val="1"/>
      <w:marLeft w:val="0"/>
      <w:marRight w:val="0"/>
      <w:marTop w:val="0"/>
      <w:marBottom w:val="0"/>
      <w:divBdr>
        <w:top w:val="none" w:sz="0" w:space="0" w:color="auto"/>
        <w:left w:val="none" w:sz="0" w:space="0" w:color="auto"/>
        <w:bottom w:val="none" w:sz="0" w:space="0" w:color="auto"/>
        <w:right w:val="none" w:sz="0" w:space="0" w:color="auto"/>
      </w:divBdr>
    </w:div>
    <w:div w:id="786505632">
      <w:bodyDiv w:val="1"/>
      <w:marLeft w:val="0"/>
      <w:marRight w:val="0"/>
      <w:marTop w:val="0"/>
      <w:marBottom w:val="0"/>
      <w:divBdr>
        <w:top w:val="none" w:sz="0" w:space="0" w:color="auto"/>
        <w:left w:val="none" w:sz="0" w:space="0" w:color="auto"/>
        <w:bottom w:val="none" w:sz="0" w:space="0" w:color="auto"/>
        <w:right w:val="none" w:sz="0" w:space="0" w:color="auto"/>
      </w:divBdr>
    </w:div>
    <w:div w:id="953294825">
      <w:bodyDiv w:val="1"/>
      <w:marLeft w:val="0"/>
      <w:marRight w:val="0"/>
      <w:marTop w:val="0"/>
      <w:marBottom w:val="0"/>
      <w:divBdr>
        <w:top w:val="none" w:sz="0" w:space="0" w:color="auto"/>
        <w:left w:val="none" w:sz="0" w:space="0" w:color="auto"/>
        <w:bottom w:val="none" w:sz="0" w:space="0" w:color="auto"/>
        <w:right w:val="none" w:sz="0" w:space="0" w:color="auto"/>
      </w:divBdr>
    </w:div>
    <w:div w:id="1084572561">
      <w:bodyDiv w:val="1"/>
      <w:marLeft w:val="0"/>
      <w:marRight w:val="0"/>
      <w:marTop w:val="0"/>
      <w:marBottom w:val="0"/>
      <w:divBdr>
        <w:top w:val="none" w:sz="0" w:space="0" w:color="auto"/>
        <w:left w:val="none" w:sz="0" w:space="0" w:color="auto"/>
        <w:bottom w:val="none" w:sz="0" w:space="0" w:color="auto"/>
        <w:right w:val="none" w:sz="0" w:space="0" w:color="auto"/>
      </w:divBdr>
    </w:div>
    <w:div w:id="1142772450">
      <w:bodyDiv w:val="1"/>
      <w:marLeft w:val="0"/>
      <w:marRight w:val="0"/>
      <w:marTop w:val="0"/>
      <w:marBottom w:val="0"/>
      <w:divBdr>
        <w:top w:val="none" w:sz="0" w:space="0" w:color="auto"/>
        <w:left w:val="none" w:sz="0" w:space="0" w:color="auto"/>
        <w:bottom w:val="none" w:sz="0" w:space="0" w:color="auto"/>
        <w:right w:val="none" w:sz="0" w:space="0" w:color="auto"/>
      </w:divBdr>
    </w:div>
    <w:div w:id="1250702379">
      <w:bodyDiv w:val="1"/>
      <w:marLeft w:val="0"/>
      <w:marRight w:val="0"/>
      <w:marTop w:val="0"/>
      <w:marBottom w:val="0"/>
      <w:divBdr>
        <w:top w:val="none" w:sz="0" w:space="0" w:color="auto"/>
        <w:left w:val="none" w:sz="0" w:space="0" w:color="auto"/>
        <w:bottom w:val="none" w:sz="0" w:space="0" w:color="auto"/>
        <w:right w:val="none" w:sz="0" w:space="0" w:color="auto"/>
      </w:divBdr>
    </w:div>
    <w:div w:id="1257396658">
      <w:bodyDiv w:val="1"/>
      <w:marLeft w:val="0"/>
      <w:marRight w:val="0"/>
      <w:marTop w:val="0"/>
      <w:marBottom w:val="0"/>
      <w:divBdr>
        <w:top w:val="none" w:sz="0" w:space="0" w:color="auto"/>
        <w:left w:val="none" w:sz="0" w:space="0" w:color="auto"/>
        <w:bottom w:val="none" w:sz="0" w:space="0" w:color="auto"/>
        <w:right w:val="none" w:sz="0" w:space="0" w:color="auto"/>
      </w:divBdr>
    </w:div>
    <w:div w:id="1290280786">
      <w:bodyDiv w:val="1"/>
      <w:marLeft w:val="0"/>
      <w:marRight w:val="0"/>
      <w:marTop w:val="0"/>
      <w:marBottom w:val="0"/>
      <w:divBdr>
        <w:top w:val="none" w:sz="0" w:space="0" w:color="auto"/>
        <w:left w:val="none" w:sz="0" w:space="0" w:color="auto"/>
        <w:bottom w:val="none" w:sz="0" w:space="0" w:color="auto"/>
        <w:right w:val="none" w:sz="0" w:space="0" w:color="auto"/>
      </w:divBdr>
    </w:div>
    <w:div w:id="1333216789">
      <w:bodyDiv w:val="1"/>
      <w:marLeft w:val="0"/>
      <w:marRight w:val="0"/>
      <w:marTop w:val="0"/>
      <w:marBottom w:val="0"/>
      <w:divBdr>
        <w:top w:val="none" w:sz="0" w:space="0" w:color="auto"/>
        <w:left w:val="none" w:sz="0" w:space="0" w:color="auto"/>
        <w:bottom w:val="none" w:sz="0" w:space="0" w:color="auto"/>
        <w:right w:val="none" w:sz="0" w:space="0" w:color="auto"/>
      </w:divBdr>
    </w:div>
    <w:div w:id="1336112418">
      <w:bodyDiv w:val="1"/>
      <w:marLeft w:val="0"/>
      <w:marRight w:val="0"/>
      <w:marTop w:val="0"/>
      <w:marBottom w:val="0"/>
      <w:divBdr>
        <w:top w:val="none" w:sz="0" w:space="0" w:color="auto"/>
        <w:left w:val="none" w:sz="0" w:space="0" w:color="auto"/>
        <w:bottom w:val="none" w:sz="0" w:space="0" w:color="auto"/>
        <w:right w:val="none" w:sz="0" w:space="0" w:color="auto"/>
      </w:divBdr>
    </w:div>
    <w:div w:id="1366565671">
      <w:bodyDiv w:val="1"/>
      <w:marLeft w:val="0"/>
      <w:marRight w:val="0"/>
      <w:marTop w:val="0"/>
      <w:marBottom w:val="0"/>
      <w:divBdr>
        <w:top w:val="none" w:sz="0" w:space="0" w:color="auto"/>
        <w:left w:val="none" w:sz="0" w:space="0" w:color="auto"/>
        <w:bottom w:val="none" w:sz="0" w:space="0" w:color="auto"/>
        <w:right w:val="none" w:sz="0" w:space="0" w:color="auto"/>
      </w:divBdr>
    </w:div>
    <w:div w:id="1453329426">
      <w:bodyDiv w:val="1"/>
      <w:marLeft w:val="0"/>
      <w:marRight w:val="0"/>
      <w:marTop w:val="0"/>
      <w:marBottom w:val="0"/>
      <w:divBdr>
        <w:top w:val="none" w:sz="0" w:space="0" w:color="auto"/>
        <w:left w:val="none" w:sz="0" w:space="0" w:color="auto"/>
        <w:bottom w:val="none" w:sz="0" w:space="0" w:color="auto"/>
        <w:right w:val="none" w:sz="0" w:space="0" w:color="auto"/>
      </w:divBdr>
    </w:div>
    <w:div w:id="1458523590">
      <w:bodyDiv w:val="1"/>
      <w:marLeft w:val="0"/>
      <w:marRight w:val="0"/>
      <w:marTop w:val="0"/>
      <w:marBottom w:val="0"/>
      <w:divBdr>
        <w:top w:val="none" w:sz="0" w:space="0" w:color="auto"/>
        <w:left w:val="none" w:sz="0" w:space="0" w:color="auto"/>
        <w:bottom w:val="none" w:sz="0" w:space="0" w:color="auto"/>
        <w:right w:val="none" w:sz="0" w:space="0" w:color="auto"/>
      </w:divBdr>
    </w:div>
    <w:div w:id="1541353891">
      <w:bodyDiv w:val="1"/>
      <w:marLeft w:val="0"/>
      <w:marRight w:val="0"/>
      <w:marTop w:val="0"/>
      <w:marBottom w:val="0"/>
      <w:divBdr>
        <w:top w:val="none" w:sz="0" w:space="0" w:color="auto"/>
        <w:left w:val="none" w:sz="0" w:space="0" w:color="auto"/>
        <w:bottom w:val="none" w:sz="0" w:space="0" w:color="auto"/>
        <w:right w:val="none" w:sz="0" w:space="0" w:color="auto"/>
      </w:divBdr>
    </w:div>
    <w:div w:id="1589844792">
      <w:bodyDiv w:val="1"/>
      <w:marLeft w:val="0"/>
      <w:marRight w:val="0"/>
      <w:marTop w:val="0"/>
      <w:marBottom w:val="0"/>
      <w:divBdr>
        <w:top w:val="none" w:sz="0" w:space="0" w:color="auto"/>
        <w:left w:val="none" w:sz="0" w:space="0" w:color="auto"/>
        <w:bottom w:val="none" w:sz="0" w:space="0" w:color="auto"/>
        <w:right w:val="none" w:sz="0" w:space="0" w:color="auto"/>
      </w:divBdr>
    </w:div>
    <w:div w:id="1766338430">
      <w:bodyDiv w:val="1"/>
      <w:marLeft w:val="0"/>
      <w:marRight w:val="0"/>
      <w:marTop w:val="0"/>
      <w:marBottom w:val="0"/>
      <w:divBdr>
        <w:top w:val="none" w:sz="0" w:space="0" w:color="auto"/>
        <w:left w:val="none" w:sz="0" w:space="0" w:color="auto"/>
        <w:bottom w:val="none" w:sz="0" w:space="0" w:color="auto"/>
        <w:right w:val="none" w:sz="0" w:space="0" w:color="auto"/>
      </w:divBdr>
    </w:div>
    <w:div w:id="2094739001">
      <w:bodyDiv w:val="1"/>
      <w:marLeft w:val="0"/>
      <w:marRight w:val="0"/>
      <w:marTop w:val="0"/>
      <w:marBottom w:val="0"/>
      <w:divBdr>
        <w:top w:val="none" w:sz="0" w:space="0" w:color="auto"/>
        <w:left w:val="none" w:sz="0" w:space="0" w:color="auto"/>
        <w:bottom w:val="none" w:sz="0" w:space="0" w:color="auto"/>
        <w:right w:val="none" w:sz="0" w:space="0" w:color="auto"/>
      </w:divBdr>
    </w:div>
    <w:div w:id="2126920237">
      <w:bodyDiv w:val="1"/>
      <w:marLeft w:val="0"/>
      <w:marRight w:val="0"/>
      <w:marTop w:val="0"/>
      <w:marBottom w:val="0"/>
      <w:divBdr>
        <w:top w:val="none" w:sz="0" w:space="0" w:color="auto"/>
        <w:left w:val="none" w:sz="0" w:space="0" w:color="auto"/>
        <w:bottom w:val="none" w:sz="0" w:space="0" w:color="auto"/>
        <w:right w:val="none" w:sz="0" w:space="0" w:color="auto"/>
      </w:divBdr>
    </w:div>
    <w:div w:id="2130737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20" Type="http://schemas.openxmlformats.org/officeDocument/2006/relationships/chart" Target="charts/chart15.xml"/><Relationship Id="rId21" Type="http://schemas.openxmlformats.org/officeDocument/2006/relationships/chart" Target="charts/chart16.xml"/><Relationship Id="rId22" Type="http://schemas.openxmlformats.org/officeDocument/2006/relationships/chart" Target="charts/chart17.xml"/><Relationship Id="rId23" Type="http://schemas.openxmlformats.org/officeDocument/2006/relationships/printerSettings" Target="printerSettings/printerSettings1.bin"/><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chart" Target="charts/chart5.xml"/><Relationship Id="rId11" Type="http://schemas.openxmlformats.org/officeDocument/2006/relationships/chart" Target="charts/chart6.xml"/><Relationship Id="rId12" Type="http://schemas.openxmlformats.org/officeDocument/2006/relationships/chart" Target="charts/chart7.xml"/><Relationship Id="rId13" Type="http://schemas.openxmlformats.org/officeDocument/2006/relationships/chart" Target="charts/chart8.xml"/><Relationship Id="rId14" Type="http://schemas.openxmlformats.org/officeDocument/2006/relationships/chart" Target="charts/chart9.xml"/><Relationship Id="rId15" Type="http://schemas.openxmlformats.org/officeDocument/2006/relationships/chart" Target="charts/chart10.xml"/><Relationship Id="rId16" Type="http://schemas.openxmlformats.org/officeDocument/2006/relationships/chart" Target="charts/chart11.xml"/><Relationship Id="rId17" Type="http://schemas.openxmlformats.org/officeDocument/2006/relationships/chart" Target="charts/chart12.xml"/><Relationship Id="rId18" Type="http://schemas.openxmlformats.org/officeDocument/2006/relationships/chart" Target="charts/chart13.xml"/><Relationship Id="rId19" Type="http://schemas.openxmlformats.org/officeDocument/2006/relationships/chart" Target="charts/chart14.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uliendamon:Desktop:Julien%20Damonjuin2009:Travaux:SNCF:Enqu&#234;te%20EUROBARO:2014:NoteDamonEurobarometreDonne&#769;e2014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juliendamon:Desktop:Julien%20Damonjuin2009:Travaux:SNCF:Enqu&#234;te%20EUROBARO:2014:NoteDamonEurobarometreDonne&#769;e2014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juliendamon:Desktop:Julien%20Damonjuin2009:Travaux:SNCF:Enqu&#234;te%20EUROBARO:2014:NoteDamonEurobarometreDonne&#769;e2014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juliendamon:Desktop:Julien%20Damonjuin2009:Travaux:SNCF:Enqu&#234;te%20EUROBARO:2014:NoteDamonEurobarometreDonne&#769;e2014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juliendamon:Desktop:Julien%20Damonjuin2009:Travaux:SNCF:Enqu&#234;te%20EUROBARO:2014:NoteDamonEurobarometreDonne&#769;e2014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acintosh%20HD:Users:juliendamon:Desktop:Julien%20Damonjuin2009:Travaux:SNCF:Enqu&#234;te%20EUROBARO:2014:NoteDamonEurobarometreDonne&#769;e2014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Macintosh%20HD:Users:juliendamon:Desktop:Julien%20Damonjuin2009:Travaux:SNCF:Enqu&#234;te%20EUROBARO:2014:NoteDamonEurobarometreDonne&#769;e2014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Macintosh%20HD:Users:juliendamon:Desktop:Julien%20Damonjuin2009:Travaux:SNCF:Enqu&#234;te%20EUROBARO:2014:NoteDamonEurobarometreDonne&#769;e2014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Macintosh%20HD:Users:juliendamon:Desktop:Julien%20Damonjuin2009:Travaux:SNCF:Enqu&#234;te%20EUROBARO:2014:NoteDamonEurobarometreDonne&#769;e2014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juliendamon:Desktop:Julien%20Damonjuin2009:Travaux:SNCF:Enqu&#234;te%20EUROBARO:2014:NoteDamonEurobarometreDonne&#769;e2014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juliendamon:Desktop:Julien%20Damonjuin2009:Travaux:SNCF:Enqu&#234;te%20EUROBARO:2014:NoteDamonEurobarometreDonne&#769;e2014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juliendamon:Desktop:Julien%20Damonjuin2009:Travaux:SNCF:Enqu&#234;te%20EUROBARO:2014:NoteDamonEurobarometreDonne&#769;e2014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juliendamon:Desktop:Julien%20Damonjuin2009:Travaux:SNCF:Enqu&#234;te%20EUROBARO:2014:NoteDamonEurobarometreDonne&#769;e2014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juliendamon:Desktop:Julien%20Damonjuin2009:Travaux:SNCF:Enqu&#234;te%20EUROBARO:2014:NoteDamonEurobarometreDonne&#769;e2014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juliendamon:Desktop:Julien%20Damonjuin2009:Travaux:SNCF:Enqu&#234;te%20EUROBARO:2014:NoteDamonEurobarometreDonne&#769;e2014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juliendamon:Desktop:Julien%20Damonjuin2009:Travaux:SNCF:Enqu&#234;te%20EUROBARO:2014:NoteDamonEurobarometreDonne&#769;e2014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juliendamon:Desktop:Julien%20Damonjuin2009:Travaux:SNCF:Enqu&#234;te%20EUROBARO:2014:NoteDamonEurobarometreDonne&#769;e2014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stacked"/>
        <c:varyColors val="0"/>
        <c:ser>
          <c:idx val="5"/>
          <c:order val="0"/>
          <c:tx>
            <c:strRef>
              <c:f>'Fréquence TRAIN'!$I$35</c:f>
              <c:strCache>
                <c:ptCount val="1"/>
                <c:pt idx="0">
                  <c:v>Jamais</c:v>
                </c:pt>
              </c:strCache>
            </c:strRef>
          </c:tx>
          <c:invertIfNegative val="0"/>
          <c:dLbls>
            <c:showLegendKey val="0"/>
            <c:showVal val="1"/>
            <c:showCatName val="0"/>
            <c:showSerName val="0"/>
            <c:showPercent val="0"/>
            <c:showBubbleSize val="0"/>
            <c:showLeaderLines val="0"/>
          </c:dLbls>
          <c:cat>
            <c:strRef>
              <c:f>'Fréquence TRAIN'!$C$36:$C$62</c:f>
              <c:strCache>
                <c:ptCount val="27"/>
                <c:pt idx="0">
                  <c:v>Allemagne</c:v>
                </c:pt>
                <c:pt idx="1">
                  <c:v>Autriche</c:v>
                </c:pt>
                <c:pt idx="2">
                  <c:v>Finlande</c:v>
                </c:pt>
                <c:pt idx="3">
                  <c:v>Suède</c:v>
                </c:pt>
                <c:pt idx="4">
                  <c:v>Danemark</c:v>
                </c:pt>
                <c:pt idx="5">
                  <c:v>Irlande</c:v>
                </c:pt>
                <c:pt idx="6">
                  <c:v>Royaume-Uni</c:v>
                </c:pt>
                <c:pt idx="7">
                  <c:v>Belgique</c:v>
                </c:pt>
                <c:pt idx="8">
                  <c:v>Rép. Tchèque</c:v>
                </c:pt>
                <c:pt idx="9">
                  <c:v>Italie</c:v>
                </c:pt>
                <c:pt idx="10">
                  <c:v>U E 26</c:v>
                </c:pt>
                <c:pt idx="11">
                  <c:v>Pays-Bas</c:v>
                </c:pt>
                <c:pt idx="12">
                  <c:v>Luxembourg</c:v>
                </c:pt>
                <c:pt idx="13">
                  <c:v>Hongrie</c:v>
                </c:pt>
                <c:pt idx="14">
                  <c:v>Pologne</c:v>
                </c:pt>
                <c:pt idx="15">
                  <c:v>F R A N C E</c:v>
                </c:pt>
                <c:pt idx="16">
                  <c:v>Roumanie</c:v>
                </c:pt>
                <c:pt idx="17">
                  <c:v>Bulgarie</c:v>
                </c:pt>
                <c:pt idx="18">
                  <c:v>Slovaquie</c:v>
                </c:pt>
                <c:pt idx="19">
                  <c:v>Portugal</c:v>
                </c:pt>
                <c:pt idx="20">
                  <c:v>Espagne</c:v>
                </c:pt>
                <c:pt idx="21">
                  <c:v>Slovénie</c:v>
                </c:pt>
                <c:pt idx="22">
                  <c:v>Lettonie</c:v>
                </c:pt>
                <c:pt idx="23">
                  <c:v>Grèce</c:v>
                </c:pt>
                <c:pt idx="24">
                  <c:v>Croatie</c:v>
                </c:pt>
                <c:pt idx="25">
                  <c:v>Estonie</c:v>
                </c:pt>
                <c:pt idx="26">
                  <c:v>Lituanie</c:v>
                </c:pt>
              </c:strCache>
            </c:strRef>
          </c:cat>
          <c:val>
            <c:numRef>
              <c:f>'Fréquence TRAIN'!$I$36:$I$62</c:f>
              <c:numCache>
                <c:formatCode>General</c:formatCode>
                <c:ptCount val="27"/>
                <c:pt idx="0">
                  <c:v>20.0</c:v>
                </c:pt>
                <c:pt idx="1">
                  <c:v>22.0</c:v>
                </c:pt>
                <c:pt idx="2">
                  <c:v>23.0</c:v>
                </c:pt>
                <c:pt idx="3">
                  <c:v>23.0</c:v>
                </c:pt>
                <c:pt idx="4">
                  <c:v>27.0</c:v>
                </c:pt>
                <c:pt idx="5">
                  <c:v>27.0</c:v>
                </c:pt>
                <c:pt idx="6">
                  <c:v>27.0</c:v>
                </c:pt>
                <c:pt idx="7">
                  <c:v>30.0</c:v>
                </c:pt>
                <c:pt idx="8">
                  <c:v>30.0</c:v>
                </c:pt>
                <c:pt idx="9">
                  <c:v>31.0</c:v>
                </c:pt>
                <c:pt idx="10">
                  <c:v>32.0</c:v>
                </c:pt>
                <c:pt idx="11">
                  <c:v>32.0</c:v>
                </c:pt>
                <c:pt idx="12">
                  <c:v>33.0</c:v>
                </c:pt>
                <c:pt idx="13">
                  <c:v>33.0</c:v>
                </c:pt>
                <c:pt idx="14">
                  <c:v>35.0</c:v>
                </c:pt>
                <c:pt idx="15">
                  <c:v>37.0</c:v>
                </c:pt>
                <c:pt idx="16">
                  <c:v>37.0</c:v>
                </c:pt>
                <c:pt idx="17">
                  <c:v>38.0</c:v>
                </c:pt>
                <c:pt idx="18">
                  <c:v>38.0</c:v>
                </c:pt>
                <c:pt idx="19">
                  <c:v>42.0</c:v>
                </c:pt>
                <c:pt idx="20">
                  <c:v>45.0</c:v>
                </c:pt>
                <c:pt idx="21">
                  <c:v>46.0</c:v>
                </c:pt>
                <c:pt idx="22">
                  <c:v>48.0</c:v>
                </c:pt>
                <c:pt idx="23">
                  <c:v>56.0</c:v>
                </c:pt>
                <c:pt idx="24">
                  <c:v>57.0</c:v>
                </c:pt>
                <c:pt idx="25">
                  <c:v>61.0</c:v>
                </c:pt>
                <c:pt idx="26">
                  <c:v>66.0</c:v>
                </c:pt>
              </c:numCache>
            </c:numRef>
          </c:val>
        </c:ser>
        <c:dLbls>
          <c:showLegendKey val="0"/>
          <c:showVal val="0"/>
          <c:showCatName val="0"/>
          <c:showSerName val="0"/>
          <c:showPercent val="0"/>
          <c:showBubbleSize val="0"/>
        </c:dLbls>
        <c:gapWidth val="150"/>
        <c:overlap val="100"/>
        <c:axId val="2093806280"/>
        <c:axId val="2093809288"/>
      </c:barChart>
      <c:catAx>
        <c:axId val="2093806280"/>
        <c:scaling>
          <c:orientation val="minMax"/>
        </c:scaling>
        <c:delete val="0"/>
        <c:axPos val="b"/>
        <c:majorTickMark val="out"/>
        <c:minorTickMark val="none"/>
        <c:tickLblPos val="nextTo"/>
        <c:txPr>
          <a:bodyPr rot="-5400000" vert="horz"/>
          <a:lstStyle/>
          <a:p>
            <a:pPr>
              <a:defRPr/>
            </a:pPr>
            <a:endParaRPr lang="fr-FR"/>
          </a:p>
        </c:txPr>
        <c:crossAx val="2093809288"/>
        <c:crosses val="autoZero"/>
        <c:auto val="1"/>
        <c:lblAlgn val="ctr"/>
        <c:lblOffset val="100"/>
        <c:noMultiLvlLbl val="0"/>
      </c:catAx>
      <c:valAx>
        <c:axId val="2093809288"/>
        <c:scaling>
          <c:orientation val="minMax"/>
          <c:max val="100.0"/>
        </c:scaling>
        <c:delete val="0"/>
        <c:axPos val="l"/>
        <c:majorGridlines/>
        <c:numFmt formatCode="General" sourceLinked="1"/>
        <c:majorTickMark val="out"/>
        <c:minorTickMark val="none"/>
        <c:tickLblPos val="nextTo"/>
        <c:crossAx val="2093806280"/>
        <c:crosses val="autoZero"/>
        <c:crossBetween val="between"/>
      </c:valAx>
    </c:plotArea>
    <c:plotVisOnly val="1"/>
    <c:dispBlanksAs val="gap"/>
    <c:showDLblsOverMax val="0"/>
  </c:chart>
  <c:spPr>
    <a:ln>
      <a:noFill/>
    </a:ln>
  </c:spPr>
  <c:txPr>
    <a:bodyPr/>
    <a:lstStyle/>
    <a:p>
      <a:pPr>
        <a:defRPr sz="1000"/>
      </a:pPr>
      <a:endParaRPr lang="fr-F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stacked"/>
        <c:varyColors val="0"/>
        <c:ser>
          <c:idx val="5"/>
          <c:order val="0"/>
          <c:tx>
            <c:strRef>
              <c:f>'GAres Indice Satisfaction'!$B$5</c:f>
              <c:strCache>
                <c:ptCount val="1"/>
                <c:pt idx="0">
                  <c:v>Élevé</c:v>
                </c:pt>
              </c:strCache>
            </c:strRef>
          </c:tx>
          <c:invertIfNegative val="0"/>
          <c:dLbls>
            <c:showLegendKey val="0"/>
            <c:showVal val="1"/>
            <c:showCatName val="0"/>
            <c:showSerName val="0"/>
            <c:showPercent val="0"/>
            <c:showBubbleSize val="0"/>
            <c:showLeaderLines val="0"/>
          </c:dLbls>
          <c:cat>
            <c:strRef>
              <c:f>'GAres Indice Satisfaction'!$A$6:$A$32</c:f>
              <c:strCache>
                <c:ptCount val="27"/>
                <c:pt idx="0">
                  <c:v>Estonie</c:v>
                </c:pt>
                <c:pt idx="1">
                  <c:v>Italie</c:v>
                </c:pt>
                <c:pt idx="2">
                  <c:v>Pologne</c:v>
                </c:pt>
                <c:pt idx="3">
                  <c:v>Bulgarie</c:v>
                </c:pt>
                <c:pt idx="4">
                  <c:v>Rép. Tchèque</c:v>
                </c:pt>
                <c:pt idx="5">
                  <c:v>Danemark</c:v>
                </c:pt>
                <c:pt idx="6">
                  <c:v>Slovaquie</c:v>
                </c:pt>
                <c:pt idx="7">
                  <c:v>Allemagne</c:v>
                </c:pt>
                <c:pt idx="8">
                  <c:v>Lituanie</c:v>
                </c:pt>
                <c:pt idx="9">
                  <c:v>Hongrie</c:v>
                </c:pt>
                <c:pt idx="10">
                  <c:v>Pays-Bas</c:v>
                </c:pt>
                <c:pt idx="11">
                  <c:v>Roumanie</c:v>
                </c:pt>
                <c:pt idx="12">
                  <c:v>Slovénie</c:v>
                </c:pt>
                <c:pt idx="13">
                  <c:v>Suède</c:v>
                </c:pt>
                <c:pt idx="14">
                  <c:v>Croatie</c:v>
                </c:pt>
                <c:pt idx="15">
                  <c:v>Grèce</c:v>
                </c:pt>
                <c:pt idx="16">
                  <c:v>U E 26</c:v>
                </c:pt>
                <c:pt idx="17">
                  <c:v>Autriche</c:v>
                </c:pt>
                <c:pt idx="18">
                  <c:v>Lettonie</c:v>
                </c:pt>
                <c:pt idx="19">
                  <c:v>Portugal</c:v>
                </c:pt>
                <c:pt idx="20">
                  <c:v>Finlande</c:v>
                </c:pt>
                <c:pt idx="21">
                  <c:v>Belgique</c:v>
                </c:pt>
                <c:pt idx="22">
                  <c:v>Espagne</c:v>
                </c:pt>
                <c:pt idx="23">
                  <c:v>F R A N C E</c:v>
                </c:pt>
                <c:pt idx="24">
                  <c:v>Luxembourg</c:v>
                </c:pt>
                <c:pt idx="25">
                  <c:v>Irlande</c:v>
                </c:pt>
                <c:pt idx="26">
                  <c:v>Royaume-Uni</c:v>
                </c:pt>
              </c:strCache>
            </c:strRef>
          </c:cat>
          <c:val>
            <c:numRef>
              <c:f>'GAres Indice Satisfaction'!$B$6:$B$32</c:f>
              <c:numCache>
                <c:formatCode>General</c:formatCode>
                <c:ptCount val="27"/>
                <c:pt idx="0">
                  <c:v>5.0</c:v>
                </c:pt>
                <c:pt idx="1">
                  <c:v>9.0</c:v>
                </c:pt>
                <c:pt idx="2">
                  <c:v>9.0</c:v>
                </c:pt>
                <c:pt idx="3">
                  <c:v>10.0</c:v>
                </c:pt>
                <c:pt idx="4">
                  <c:v>11.0</c:v>
                </c:pt>
                <c:pt idx="5">
                  <c:v>11.0</c:v>
                </c:pt>
                <c:pt idx="6">
                  <c:v>12.0</c:v>
                </c:pt>
                <c:pt idx="7">
                  <c:v>14.0</c:v>
                </c:pt>
                <c:pt idx="8">
                  <c:v>15.0</c:v>
                </c:pt>
                <c:pt idx="9">
                  <c:v>15.0</c:v>
                </c:pt>
                <c:pt idx="10">
                  <c:v>15.0</c:v>
                </c:pt>
                <c:pt idx="11">
                  <c:v>15.0</c:v>
                </c:pt>
                <c:pt idx="12">
                  <c:v>15.0</c:v>
                </c:pt>
                <c:pt idx="13">
                  <c:v>16.0</c:v>
                </c:pt>
                <c:pt idx="14">
                  <c:v>19.0</c:v>
                </c:pt>
                <c:pt idx="15">
                  <c:v>21.0</c:v>
                </c:pt>
                <c:pt idx="16">
                  <c:v>22.0</c:v>
                </c:pt>
                <c:pt idx="17">
                  <c:v>22.0</c:v>
                </c:pt>
                <c:pt idx="18">
                  <c:v>26.0</c:v>
                </c:pt>
                <c:pt idx="19">
                  <c:v>28.0</c:v>
                </c:pt>
                <c:pt idx="20">
                  <c:v>28.0</c:v>
                </c:pt>
                <c:pt idx="21">
                  <c:v>30.0</c:v>
                </c:pt>
                <c:pt idx="22">
                  <c:v>36.0</c:v>
                </c:pt>
                <c:pt idx="23">
                  <c:v>36.0</c:v>
                </c:pt>
                <c:pt idx="24">
                  <c:v>36.0</c:v>
                </c:pt>
                <c:pt idx="25">
                  <c:v>38.0</c:v>
                </c:pt>
                <c:pt idx="26">
                  <c:v>41.0</c:v>
                </c:pt>
              </c:numCache>
            </c:numRef>
          </c:val>
        </c:ser>
        <c:ser>
          <c:idx val="0"/>
          <c:order val="1"/>
          <c:tx>
            <c:strRef>
              <c:f>'GAres Indice Satisfaction'!$C$5</c:f>
              <c:strCache>
                <c:ptCount val="1"/>
                <c:pt idx="0">
                  <c:v>Bon</c:v>
                </c:pt>
              </c:strCache>
            </c:strRef>
          </c:tx>
          <c:invertIfNegative val="0"/>
          <c:dLbls>
            <c:showLegendKey val="0"/>
            <c:showVal val="1"/>
            <c:showCatName val="0"/>
            <c:showSerName val="0"/>
            <c:showPercent val="0"/>
            <c:showBubbleSize val="0"/>
            <c:showLeaderLines val="0"/>
          </c:dLbls>
          <c:cat>
            <c:strRef>
              <c:f>'GAres Indice Satisfaction'!$A$6:$A$32</c:f>
              <c:strCache>
                <c:ptCount val="27"/>
                <c:pt idx="0">
                  <c:v>Estonie</c:v>
                </c:pt>
                <c:pt idx="1">
                  <c:v>Italie</c:v>
                </c:pt>
                <c:pt idx="2">
                  <c:v>Pologne</c:v>
                </c:pt>
                <c:pt idx="3">
                  <c:v>Bulgarie</c:v>
                </c:pt>
                <c:pt idx="4">
                  <c:v>Rép. Tchèque</c:v>
                </c:pt>
                <c:pt idx="5">
                  <c:v>Danemark</c:v>
                </c:pt>
                <c:pt idx="6">
                  <c:v>Slovaquie</c:v>
                </c:pt>
                <c:pt idx="7">
                  <c:v>Allemagne</c:v>
                </c:pt>
                <c:pt idx="8">
                  <c:v>Lituanie</c:v>
                </c:pt>
                <c:pt idx="9">
                  <c:v>Hongrie</c:v>
                </c:pt>
                <c:pt idx="10">
                  <c:v>Pays-Bas</c:v>
                </c:pt>
                <c:pt idx="11">
                  <c:v>Roumanie</c:v>
                </c:pt>
                <c:pt idx="12">
                  <c:v>Slovénie</c:v>
                </c:pt>
                <c:pt idx="13">
                  <c:v>Suède</c:v>
                </c:pt>
                <c:pt idx="14">
                  <c:v>Croatie</c:v>
                </c:pt>
                <c:pt idx="15">
                  <c:v>Grèce</c:v>
                </c:pt>
                <c:pt idx="16">
                  <c:v>U E 26</c:v>
                </c:pt>
                <c:pt idx="17">
                  <c:v>Autriche</c:v>
                </c:pt>
                <c:pt idx="18">
                  <c:v>Lettonie</c:v>
                </c:pt>
                <c:pt idx="19">
                  <c:v>Portugal</c:v>
                </c:pt>
                <c:pt idx="20">
                  <c:v>Finlande</c:v>
                </c:pt>
                <c:pt idx="21">
                  <c:v>Belgique</c:v>
                </c:pt>
                <c:pt idx="22">
                  <c:v>Espagne</c:v>
                </c:pt>
                <c:pt idx="23">
                  <c:v>F R A N C E</c:v>
                </c:pt>
                <c:pt idx="24">
                  <c:v>Luxembourg</c:v>
                </c:pt>
                <c:pt idx="25">
                  <c:v>Irlande</c:v>
                </c:pt>
                <c:pt idx="26">
                  <c:v>Royaume-Uni</c:v>
                </c:pt>
              </c:strCache>
            </c:strRef>
          </c:cat>
          <c:val>
            <c:numRef>
              <c:f>'GAres Indice Satisfaction'!$C$6:$C$32</c:f>
              <c:numCache>
                <c:formatCode>General</c:formatCode>
                <c:ptCount val="27"/>
                <c:pt idx="0">
                  <c:v>23.0</c:v>
                </c:pt>
                <c:pt idx="1">
                  <c:v>25.0</c:v>
                </c:pt>
                <c:pt idx="2">
                  <c:v>24.0</c:v>
                </c:pt>
                <c:pt idx="3">
                  <c:v>20.0</c:v>
                </c:pt>
                <c:pt idx="4">
                  <c:v>37.0</c:v>
                </c:pt>
                <c:pt idx="5">
                  <c:v>32.0</c:v>
                </c:pt>
                <c:pt idx="6">
                  <c:v>27.0</c:v>
                </c:pt>
                <c:pt idx="7">
                  <c:v>26.0</c:v>
                </c:pt>
                <c:pt idx="8">
                  <c:v>29.0</c:v>
                </c:pt>
                <c:pt idx="9">
                  <c:v>25.0</c:v>
                </c:pt>
                <c:pt idx="10">
                  <c:v>39.0</c:v>
                </c:pt>
                <c:pt idx="11">
                  <c:v>20.0</c:v>
                </c:pt>
                <c:pt idx="12">
                  <c:v>26.0</c:v>
                </c:pt>
                <c:pt idx="13">
                  <c:v>37.0</c:v>
                </c:pt>
                <c:pt idx="14">
                  <c:v>23.0</c:v>
                </c:pt>
                <c:pt idx="15">
                  <c:v>22.0</c:v>
                </c:pt>
                <c:pt idx="16">
                  <c:v>29.0</c:v>
                </c:pt>
                <c:pt idx="17">
                  <c:v>36.0</c:v>
                </c:pt>
                <c:pt idx="18">
                  <c:v>35.0</c:v>
                </c:pt>
                <c:pt idx="19">
                  <c:v>28.0</c:v>
                </c:pt>
                <c:pt idx="20">
                  <c:v>39.0</c:v>
                </c:pt>
                <c:pt idx="21">
                  <c:v>34.0</c:v>
                </c:pt>
                <c:pt idx="22">
                  <c:v>28.0</c:v>
                </c:pt>
                <c:pt idx="23">
                  <c:v>32.0</c:v>
                </c:pt>
                <c:pt idx="24">
                  <c:v>34.0</c:v>
                </c:pt>
                <c:pt idx="25">
                  <c:v>33.0</c:v>
                </c:pt>
                <c:pt idx="26">
                  <c:v>32.0</c:v>
                </c:pt>
              </c:numCache>
            </c:numRef>
          </c:val>
        </c:ser>
        <c:ser>
          <c:idx val="1"/>
          <c:order val="2"/>
          <c:tx>
            <c:strRef>
              <c:f>'GAres Indice Satisfaction'!$D$5</c:f>
              <c:strCache>
                <c:ptCount val="1"/>
                <c:pt idx="0">
                  <c:v>Moyen</c:v>
                </c:pt>
              </c:strCache>
            </c:strRef>
          </c:tx>
          <c:invertIfNegative val="0"/>
          <c:dLbls>
            <c:showLegendKey val="0"/>
            <c:showVal val="1"/>
            <c:showCatName val="0"/>
            <c:showSerName val="0"/>
            <c:showPercent val="0"/>
            <c:showBubbleSize val="0"/>
            <c:showLeaderLines val="0"/>
          </c:dLbls>
          <c:cat>
            <c:strRef>
              <c:f>'GAres Indice Satisfaction'!$A$6:$A$32</c:f>
              <c:strCache>
                <c:ptCount val="27"/>
                <c:pt idx="0">
                  <c:v>Estonie</c:v>
                </c:pt>
                <c:pt idx="1">
                  <c:v>Italie</c:v>
                </c:pt>
                <c:pt idx="2">
                  <c:v>Pologne</c:v>
                </c:pt>
                <c:pt idx="3">
                  <c:v>Bulgarie</c:v>
                </c:pt>
                <c:pt idx="4">
                  <c:v>Rép. Tchèque</c:v>
                </c:pt>
                <c:pt idx="5">
                  <c:v>Danemark</c:v>
                </c:pt>
                <c:pt idx="6">
                  <c:v>Slovaquie</c:v>
                </c:pt>
                <c:pt idx="7">
                  <c:v>Allemagne</c:v>
                </c:pt>
                <c:pt idx="8">
                  <c:v>Lituanie</c:v>
                </c:pt>
                <c:pt idx="9">
                  <c:v>Hongrie</c:v>
                </c:pt>
                <c:pt idx="10">
                  <c:v>Pays-Bas</c:v>
                </c:pt>
                <c:pt idx="11">
                  <c:v>Roumanie</c:v>
                </c:pt>
                <c:pt idx="12">
                  <c:v>Slovénie</c:v>
                </c:pt>
                <c:pt idx="13">
                  <c:v>Suède</c:v>
                </c:pt>
                <c:pt idx="14">
                  <c:v>Croatie</c:v>
                </c:pt>
                <c:pt idx="15">
                  <c:v>Grèce</c:v>
                </c:pt>
                <c:pt idx="16">
                  <c:v>U E 26</c:v>
                </c:pt>
                <c:pt idx="17">
                  <c:v>Autriche</c:v>
                </c:pt>
                <c:pt idx="18">
                  <c:v>Lettonie</c:v>
                </c:pt>
                <c:pt idx="19">
                  <c:v>Portugal</c:v>
                </c:pt>
                <c:pt idx="20">
                  <c:v>Finlande</c:v>
                </c:pt>
                <c:pt idx="21">
                  <c:v>Belgique</c:v>
                </c:pt>
                <c:pt idx="22">
                  <c:v>Espagne</c:v>
                </c:pt>
                <c:pt idx="23">
                  <c:v>F R A N C E</c:v>
                </c:pt>
                <c:pt idx="24">
                  <c:v>Luxembourg</c:v>
                </c:pt>
                <c:pt idx="25">
                  <c:v>Irlande</c:v>
                </c:pt>
                <c:pt idx="26">
                  <c:v>Royaume-Uni</c:v>
                </c:pt>
              </c:strCache>
            </c:strRef>
          </c:cat>
          <c:val>
            <c:numRef>
              <c:f>'GAres Indice Satisfaction'!$D$6:$D$32</c:f>
              <c:numCache>
                <c:formatCode>General</c:formatCode>
                <c:ptCount val="27"/>
                <c:pt idx="0">
                  <c:v>13.0</c:v>
                </c:pt>
                <c:pt idx="1">
                  <c:v>28.0</c:v>
                </c:pt>
                <c:pt idx="2">
                  <c:v>23.0</c:v>
                </c:pt>
                <c:pt idx="3">
                  <c:v>29.0</c:v>
                </c:pt>
                <c:pt idx="4">
                  <c:v>31.0</c:v>
                </c:pt>
                <c:pt idx="5">
                  <c:v>28.0</c:v>
                </c:pt>
                <c:pt idx="6">
                  <c:v>26.0</c:v>
                </c:pt>
                <c:pt idx="7">
                  <c:v>26.0</c:v>
                </c:pt>
                <c:pt idx="8">
                  <c:v>13.0</c:v>
                </c:pt>
                <c:pt idx="9">
                  <c:v>22.0</c:v>
                </c:pt>
                <c:pt idx="10">
                  <c:v>23.0</c:v>
                </c:pt>
                <c:pt idx="11">
                  <c:v>23.0</c:v>
                </c:pt>
                <c:pt idx="12">
                  <c:v>18.0</c:v>
                </c:pt>
                <c:pt idx="13">
                  <c:v>22.0</c:v>
                </c:pt>
                <c:pt idx="14">
                  <c:v>19.0</c:v>
                </c:pt>
                <c:pt idx="15">
                  <c:v>15.0</c:v>
                </c:pt>
                <c:pt idx="16">
                  <c:v>21.0</c:v>
                </c:pt>
                <c:pt idx="17">
                  <c:v>22.0</c:v>
                </c:pt>
                <c:pt idx="18">
                  <c:v>17.0</c:v>
                </c:pt>
                <c:pt idx="19">
                  <c:v>18.0</c:v>
                </c:pt>
                <c:pt idx="20">
                  <c:v>17.0</c:v>
                </c:pt>
                <c:pt idx="21">
                  <c:v>20.0</c:v>
                </c:pt>
                <c:pt idx="22">
                  <c:v>15.0</c:v>
                </c:pt>
                <c:pt idx="23">
                  <c:v>18.0</c:v>
                </c:pt>
                <c:pt idx="24">
                  <c:v>15.0</c:v>
                </c:pt>
                <c:pt idx="25">
                  <c:v>13.0</c:v>
                </c:pt>
                <c:pt idx="26">
                  <c:v>12.0</c:v>
                </c:pt>
              </c:numCache>
            </c:numRef>
          </c:val>
        </c:ser>
        <c:ser>
          <c:idx val="2"/>
          <c:order val="3"/>
          <c:tx>
            <c:strRef>
              <c:f>'GAres Indice Satisfaction'!$E$5</c:f>
              <c:strCache>
                <c:ptCount val="1"/>
                <c:pt idx="0">
                  <c:v>Faible</c:v>
                </c:pt>
              </c:strCache>
            </c:strRef>
          </c:tx>
          <c:invertIfNegative val="0"/>
          <c:dLbls>
            <c:showLegendKey val="0"/>
            <c:showVal val="1"/>
            <c:showCatName val="0"/>
            <c:showSerName val="0"/>
            <c:showPercent val="0"/>
            <c:showBubbleSize val="0"/>
            <c:showLeaderLines val="0"/>
          </c:dLbls>
          <c:cat>
            <c:strRef>
              <c:f>'GAres Indice Satisfaction'!$A$6:$A$32</c:f>
              <c:strCache>
                <c:ptCount val="27"/>
                <c:pt idx="0">
                  <c:v>Estonie</c:v>
                </c:pt>
                <c:pt idx="1">
                  <c:v>Italie</c:v>
                </c:pt>
                <c:pt idx="2">
                  <c:v>Pologne</c:v>
                </c:pt>
                <c:pt idx="3">
                  <c:v>Bulgarie</c:v>
                </c:pt>
                <c:pt idx="4">
                  <c:v>Rép. Tchèque</c:v>
                </c:pt>
                <c:pt idx="5">
                  <c:v>Danemark</c:v>
                </c:pt>
                <c:pt idx="6">
                  <c:v>Slovaquie</c:v>
                </c:pt>
                <c:pt idx="7">
                  <c:v>Allemagne</c:v>
                </c:pt>
                <c:pt idx="8">
                  <c:v>Lituanie</c:v>
                </c:pt>
                <c:pt idx="9">
                  <c:v>Hongrie</c:v>
                </c:pt>
                <c:pt idx="10">
                  <c:v>Pays-Bas</c:v>
                </c:pt>
                <c:pt idx="11">
                  <c:v>Roumanie</c:v>
                </c:pt>
                <c:pt idx="12">
                  <c:v>Slovénie</c:v>
                </c:pt>
                <c:pt idx="13">
                  <c:v>Suède</c:v>
                </c:pt>
                <c:pt idx="14">
                  <c:v>Croatie</c:v>
                </c:pt>
                <c:pt idx="15">
                  <c:v>Grèce</c:v>
                </c:pt>
                <c:pt idx="16">
                  <c:v>U E 26</c:v>
                </c:pt>
                <c:pt idx="17">
                  <c:v>Autriche</c:v>
                </c:pt>
                <c:pt idx="18">
                  <c:v>Lettonie</c:v>
                </c:pt>
                <c:pt idx="19">
                  <c:v>Portugal</c:v>
                </c:pt>
                <c:pt idx="20">
                  <c:v>Finlande</c:v>
                </c:pt>
                <c:pt idx="21">
                  <c:v>Belgique</c:v>
                </c:pt>
                <c:pt idx="22">
                  <c:v>Espagne</c:v>
                </c:pt>
                <c:pt idx="23">
                  <c:v>F R A N C E</c:v>
                </c:pt>
                <c:pt idx="24">
                  <c:v>Luxembourg</c:v>
                </c:pt>
                <c:pt idx="25">
                  <c:v>Irlande</c:v>
                </c:pt>
                <c:pt idx="26">
                  <c:v>Royaume-Uni</c:v>
                </c:pt>
              </c:strCache>
            </c:strRef>
          </c:cat>
          <c:val>
            <c:numRef>
              <c:f>'GAres Indice Satisfaction'!$E$6:$E$32</c:f>
              <c:numCache>
                <c:formatCode>General</c:formatCode>
                <c:ptCount val="27"/>
                <c:pt idx="0">
                  <c:v>59.0</c:v>
                </c:pt>
                <c:pt idx="1">
                  <c:v>38.0</c:v>
                </c:pt>
                <c:pt idx="2">
                  <c:v>44.0</c:v>
                </c:pt>
                <c:pt idx="3">
                  <c:v>41.0</c:v>
                </c:pt>
                <c:pt idx="4">
                  <c:v>21.0</c:v>
                </c:pt>
                <c:pt idx="5">
                  <c:v>29.0</c:v>
                </c:pt>
                <c:pt idx="6">
                  <c:v>35.0</c:v>
                </c:pt>
                <c:pt idx="7">
                  <c:v>34.0</c:v>
                </c:pt>
                <c:pt idx="8">
                  <c:v>43.0</c:v>
                </c:pt>
                <c:pt idx="9">
                  <c:v>38.0</c:v>
                </c:pt>
                <c:pt idx="10">
                  <c:v>23.0</c:v>
                </c:pt>
                <c:pt idx="11">
                  <c:v>42.0</c:v>
                </c:pt>
                <c:pt idx="12">
                  <c:v>41.0</c:v>
                </c:pt>
                <c:pt idx="13">
                  <c:v>25.0</c:v>
                </c:pt>
                <c:pt idx="14">
                  <c:v>39.0</c:v>
                </c:pt>
                <c:pt idx="15">
                  <c:v>42.0</c:v>
                </c:pt>
                <c:pt idx="16">
                  <c:v>28.0</c:v>
                </c:pt>
                <c:pt idx="17">
                  <c:v>20.0</c:v>
                </c:pt>
                <c:pt idx="18">
                  <c:v>22.0</c:v>
                </c:pt>
                <c:pt idx="19">
                  <c:v>26.0</c:v>
                </c:pt>
                <c:pt idx="20">
                  <c:v>16.0</c:v>
                </c:pt>
                <c:pt idx="21">
                  <c:v>16.0</c:v>
                </c:pt>
                <c:pt idx="22">
                  <c:v>21.0</c:v>
                </c:pt>
                <c:pt idx="23">
                  <c:v>14.0</c:v>
                </c:pt>
                <c:pt idx="24">
                  <c:v>15.0</c:v>
                </c:pt>
                <c:pt idx="25">
                  <c:v>16.0</c:v>
                </c:pt>
                <c:pt idx="26">
                  <c:v>15.0</c:v>
                </c:pt>
              </c:numCache>
            </c:numRef>
          </c:val>
        </c:ser>
        <c:dLbls>
          <c:showLegendKey val="0"/>
          <c:showVal val="0"/>
          <c:showCatName val="0"/>
          <c:showSerName val="0"/>
          <c:showPercent val="0"/>
          <c:showBubbleSize val="0"/>
        </c:dLbls>
        <c:gapWidth val="150"/>
        <c:overlap val="100"/>
        <c:axId val="-2046805336"/>
        <c:axId val="-2050520968"/>
      </c:barChart>
      <c:catAx>
        <c:axId val="-2046805336"/>
        <c:scaling>
          <c:orientation val="minMax"/>
        </c:scaling>
        <c:delete val="0"/>
        <c:axPos val="b"/>
        <c:majorTickMark val="out"/>
        <c:minorTickMark val="none"/>
        <c:tickLblPos val="nextTo"/>
        <c:txPr>
          <a:bodyPr rot="-5400000" vert="horz"/>
          <a:lstStyle/>
          <a:p>
            <a:pPr>
              <a:defRPr/>
            </a:pPr>
            <a:endParaRPr lang="fr-FR"/>
          </a:p>
        </c:txPr>
        <c:crossAx val="-2050520968"/>
        <c:crosses val="autoZero"/>
        <c:auto val="1"/>
        <c:lblAlgn val="ctr"/>
        <c:lblOffset val="100"/>
        <c:noMultiLvlLbl val="0"/>
      </c:catAx>
      <c:valAx>
        <c:axId val="-2050520968"/>
        <c:scaling>
          <c:orientation val="minMax"/>
          <c:max val="100.0"/>
        </c:scaling>
        <c:delete val="0"/>
        <c:axPos val="l"/>
        <c:majorGridlines/>
        <c:numFmt formatCode="General" sourceLinked="1"/>
        <c:majorTickMark val="out"/>
        <c:minorTickMark val="none"/>
        <c:tickLblPos val="nextTo"/>
        <c:crossAx val="-2046805336"/>
        <c:crosses val="autoZero"/>
        <c:crossBetween val="between"/>
      </c:valAx>
    </c:plotArea>
    <c:legend>
      <c:legendPos val="b"/>
      <c:layout/>
      <c:overlay val="0"/>
    </c:legend>
    <c:plotVisOnly val="1"/>
    <c:dispBlanksAs val="gap"/>
    <c:showDLblsOverMax val="0"/>
  </c:chart>
  <c:spPr>
    <a:ln>
      <a:noFill/>
    </a:ln>
  </c:spPr>
  <c:txPr>
    <a:bodyPr/>
    <a:lstStyle/>
    <a:p>
      <a:pPr>
        <a:defRPr sz="1000"/>
      </a:pPr>
      <a:endParaRPr lang="fr-F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stacked"/>
        <c:varyColors val="0"/>
        <c:ser>
          <c:idx val="5"/>
          <c:order val="0"/>
          <c:tx>
            <c:strRef>
              <c:f>'Trains Fréquence'!$B$5</c:f>
              <c:strCache>
                <c:ptCount val="1"/>
                <c:pt idx="0">
                  <c:v>Très satisfait</c:v>
                </c:pt>
              </c:strCache>
            </c:strRef>
          </c:tx>
          <c:invertIfNegative val="0"/>
          <c:dLbls>
            <c:showLegendKey val="0"/>
            <c:showVal val="1"/>
            <c:showCatName val="0"/>
            <c:showSerName val="0"/>
            <c:showPercent val="0"/>
            <c:showBubbleSize val="0"/>
            <c:showLeaderLines val="0"/>
          </c:dLbls>
          <c:cat>
            <c:strRef>
              <c:f>'Trains Fréquence'!$A$6:$A$32</c:f>
              <c:strCache>
                <c:ptCount val="27"/>
                <c:pt idx="0">
                  <c:v>Estonie</c:v>
                </c:pt>
                <c:pt idx="1">
                  <c:v>Pologne</c:v>
                </c:pt>
                <c:pt idx="2">
                  <c:v>Bulgarie</c:v>
                </c:pt>
                <c:pt idx="3">
                  <c:v>F R A N C E</c:v>
                </c:pt>
                <c:pt idx="4">
                  <c:v>Croatie</c:v>
                </c:pt>
                <c:pt idx="5">
                  <c:v>Grèce</c:v>
                </c:pt>
                <c:pt idx="6">
                  <c:v>Italie</c:v>
                </c:pt>
                <c:pt idx="7">
                  <c:v>Lettonie</c:v>
                </c:pt>
                <c:pt idx="8">
                  <c:v>Roumanie</c:v>
                </c:pt>
                <c:pt idx="9">
                  <c:v>Belgique</c:v>
                </c:pt>
                <c:pt idx="10">
                  <c:v>Slovénie</c:v>
                </c:pt>
                <c:pt idx="11">
                  <c:v>Allemagne</c:v>
                </c:pt>
                <c:pt idx="12">
                  <c:v>Lituanie</c:v>
                </c:pt>
                <c:pt idx="13">
                  <c:v>U E 26</c:v>
                </c:pt>
                <c:pt idx="14">
                  <c:v>Slovaquie</c:v>
                </c:pt>
                <c:pt idx="15">
                  <c:v>Hongrie</c:v>
                </c:pt>
                <c:pt idx="16">
                  <c:v>Rép. Tchèque</c:v>
                </c:pt>
                <c:pt idx="17">
                  <c:v>Espagne</c:v>
                </c:pt>
                <c:pt idx="18">
                  <c:v>Finlande</c:v>
                </c:pt>
                <c:pt idx="19">
                  <c:v>Suède</c:v>
                </c:pt>
                <c:pt idx="20">
                  <c:v>Pays-Bas</c:v>
                </c:pt>
                <c:pt idx="21">
                  <c:v>Autriche</c:v>
                </c:pt>
                <c:pt idx="22">
                  <c:v>Danemark</c:v>
                </c:pt>
                <c:pt idx="23">
                  <c:v>Luxembourg</c:v>
                </c:pt>
                <c:pt idx="24">
                  <c:v>Royaume-Uni</c:v>
                </c:pt>
                <c:pt idx="25">
                  <c:v>Irlande</c:v>
                </c:pt>
                <c:pt idx="26">
                  <c:v>Portugal</c:v>
                </c:pt>
              </c:strCache>
            </c:strRef>
          </c:cat>
          <c:val>
            <c:numRef>
              <c:f>'Trains Fréquence'!$B$6:$B$32</c:f>
              <c:numCache>
                <c:formatCode>General</c:formatCode>
                <c:ptCount val="27"/>
                <c:pt idx="0">
                  <c:v>4.0</c:v>
                </c:pt>
                <c:pt idx="1">
                  <c:v>4.0</c:v>
                </c:pt>
                <c:pt idx="2">
                  <c:v>7.0</c:v>
                </c:pt>
                <c:pt idx="3">
                  <c:v>9.0</c:v>
                </c:pt>
                <c:pt idx="4">
                  <c:v>9.0</c:v>
                </c:pt>
                <c:pt idx="5">
                  <c:v>10.0</c:v>
                </c:pt>
                <c:pt idx="6">
                  <c:v>10.0</c:v>
                </c:pt>
                <c:pt idx="7">
                  <c:v>10.0</c:v>
                </c:pt>
                <c:pt idx="8">
                  <c:v>10.0</c:v>
                </c:pt>
                <c:pt idx="9">
                  <c:v>12.0</c:v>
                </c:pt>
                <c:pt idx="10">
                  <c:v>13.0</c:v>
                </c:pt>
                <c:pt idx="11">
                  <c:v>14.0</c:v>
                </c:pt>
                <c:pt idx="12">
                  <c:v>14.0</c:v>
                </c:pt>
                <c:pt idx="13">
                  <c:v>15.0</c:v>
                </c:pt>
                <c:pt idx="14">
                  <c:v>15.0</c:v>
                </c:pt>
                <c:pt idx="15">
                  <c:v>16.0</c:v>
                </c:pt>
                <c:pt idx="16">
                  <c:v>17.0</c:v>
                </c:pt>
                <c:pt idx="17">
                  <c:v>18.0</c:v>
                </c:pt>
                <c:pt idx="18">
                  <c:v>18.0</c:v>
                </c:pt>
                <c:pt idx="19">
                  <c:v>18.0</c:v>
                </c:pt>
                <c:pt idx="20">
                  <c:v>22.0</c:v>
                </c:pt>
                <c:pt idx="21">
                  <c:v>22.0</c:v>
                </c:pt>
                <c:pt idx="22">
                  <c:v>25.0</c:v>
                </c:pt>
                <c:pt idx="23">
                  <c:v>28.0</c:v>
                </c:pt>
                <c:pt idx="24">
                  <c:v>29.0</c:v>
                </c:pt>
                <c:pt idx="25">
                  <c:v>30.0</c:v>
                </c:pt>
                <c:pt idx="26">
                  <c:v>32.0</c:v>
                </c:pt>
              </c:numCache>
            </c:numRef>
          </c:val>
        </c:ser>
        <c:ser>
          <c:idx val="0"/>
          <c:order val="1"/>
          <c:tx>
            <c:strRef>
              <c:f>'Trains Fréquence'!$C$5</c:f>
              <c:strCache>
                <c:ptCount val="1"/>
                <c:pt idx="0">
                  <c:v>Satisfait</c:v>
                </c:pt>
              </c:strCache>
            </c:strRef>
          </c:tx>
          <c:invertIfNegative val="0"/>
          <c:dLbls>
            <c:showLegendKey val="0"/>
            <c:showVal val="1"/>
            <c:showCatName val="0"/>
            <c:showSerName val="0"/>
            <c:showPercent val="0"/>
            <c:showBubbleSize val="0"/>
            <c:showLeaderLines val="0"/>
          </c:dLbls>
          <c:cat>
            <c:strRef>
              <c:f>'Trains Fréquence'!$A$6:$A$32</c:f>
              <c:strCache>
                <c:ptCount val="27"/>
                <c:pt idx="0">
                  <c:v>Estonie</c:v>
                </c:pt>
                <c:pt idx="1">
                  <c:v>Pologne</c:v>
                </c:pt>
                <c:pt idx="2">
                  <c:v>Bulgarie</c:v>
                </c:pt>
                <c:pt idx="3">
                  <c:v>F R A N C E</c:v>
                </c:pt>
                <c:pt idx="4">
                  <c:v>Croatie</c:v>
                </c:pt>
                <c:pt idx="5">
                  <c:v>Grèce</c:v>
                </c:pt>
                <c:pt idx="6">
                  <c:v>Italie</c:v>
                </c:pt>
                <c:pt idx="7">
                  <c:v>Lettonie</c:v>
                </c:pt>
                <c:pt idx="8">
                  <c:v>Roumanie</c:v>
                </c:pt>
                <c:pt idx="9">
                  <c:v>Belgique</c:v>
                </c:pt>
                <c:pt idx="10">
                  <c:v>Slovénie</c:v>
                </c:pt>
                <c:pt idx="11">
                  <c:v>Allemagne</c:v>
                </c:pt>
                <c:pt idx="12">
                  <c:v>Lituanie</c:v>
                </c:pt>
                <c:pt idx="13">
                  <c:v>U E 26</c:v>
                </c:pt>
                <c:pt idx="14">
                  <c:v>Slovaquie</c:v>
                </c:pt>
                <c:pt idx="15">
                  <c:v>Hongrie</c:v>
                </c:pt>
                <c:pt idx="16">
                  <c:v>Rép. Tchèque</c:v>
                </c:pt>
                <c:pt idx="17">
                  <c:v>Espagne</c:v>
                </c:pt>
                <c:pt idx="18">
                  <c:v>Finlande</c:v>
                </c:pt>
                <c:pt idx="19">
                  <c:v>Suède</c:v>
                </c:pt>
                <c:pt idx="20">
                  <c:v>Pays-Bas</c:v>
                </c:pt>
                <c:pt idx="21">
                  <c:v>Autriche</c:v>
                </c:pt>
                <c:pt idx="22">
                  <c:v>Danemark</c:v>
                </c:pt>
                <c:pt idx="23">
                  <c:v>Luxembourg</c:v>
                </c:pt>
                <c:pt idx="24">
                  <c:v>Royaume-Uni</c:v>
                </c:pt>
                <c:pt idx="25">
                  <c:v>Irlande</c:v>
                </c:pt>
                <c:pt idx="26">
                  <c:v>Portugal</c:v>
                </c:pt>
              </c:strCache>
            </c:strRef>
          </c:cat>
          <c:val>
            <c:numRef>
              <c:f>'Trains Fréquence'!$C$6:$C$32</c:f>
              <c:numCache>
                <c:formatCode>General</c:formatCode>
                <c:ptCount val="27"/>
                <c:pt idx="0">
                  <c:v>17.0</c:v>
                </c:pt>
                <c:pt idx="1">
                  <c:v>35.0</c:v>
                </c:pt>
                <c:pt idx="2">
                  <c:v>25.0</c:v>
                </c:pt>
                <c:pt idx="3">
                  <c:v>58.0</c:v>
                </c:pt>
                <c:pt idx="4">
                  <c:v>28.0</c:v>
                </c:pt>
                <c:pt idx="5">
                  <c:v>33.0</c:v>
                </c:pt>
                <c:pt idx="6">
                  <c:v>37.0</c:v>
                </c:pt>
                <c:pt idx="7">
                  <c:v>38.0</c:v>
                </c:pt>
                <c:pt idx="8">
                  <c:v>34.0</c:v>
                </c:pt>
                <c:pt idx="9">
                  <c:v>56.0</c:v>
                </c:pt>
                <c:pt idx="10">
                  <c:v>29.0</c:v>
                </c:pt>
                <c:pt idx="11">
                  <c:v>50.0</c:v>
                </c:pt>
                <c:pt idx="12">
                  <c:v>23.0</c:v>
                </c:pt>
                <c:pt idx="13">
                  <c:v>44.0</c:v>
                </c:pt>
                <c:pt idx="14">
                  <c:v>34.0</c:v>
                </c:pt>
                <c:pt idx="15">
                  <c:v>40.0</c:v>
                </c:pt>
                <c:pt idx="16">
                  <c:v>42.0</c:v>
                </c:pt>
                <c:pt idx="17">
                  <c:v>43.0</c:v>
                </c:pt>
                <c:pt idx="18">
                  <c:v>57.0</c:v>
                </c:pt>
                <c:pt idx="19">
                  <c:v>50.0</c:v>
                </c:pt>
                <c:pt idx="20">
                  <c:v>51.0</c:v>
                </c:pt>
                <c:pt idx="21">
                  <c:v>45.0</c:v>
                </c:pt>
                <c:pt idx="22">
                  <c:v>45.0</c:v>
                </c:pt>
                <c:pt idx="23">
                  <c:v>47.0</c:v>
                </c:pt>
                <c:pt idx="24">
                  <c:v>48.0</c:v>
                </c:pt>
                <c:pt idx="25">
                  <c:v>42.0</c:v>
                </c:pt>
                <c:pt idx="26">
                  <c:v>30.0</c:v>
                </c:pt>
              </c:numCache>
            </c:numRef>
          </c:val>
        </c:ser>
        <c:ser>
          <c:idx val="1"/>
          <c:order val="2"/>
          <c:tx>
            <c:strRef>
              <c:f>'Trains Fréquence'!$D$5</c:f>
              <c:strCache>
                <c:ptCount val="1"/>
                <c:pt idx="0">
                  <c:v>Insatisfait</c:v>
                </c:pt>
              </c:strCache>
            </c:strRef>
          </c:tx>
          <c:invertIfNegative val="0"/>
          <c:dLbls>
            <c:showLegendKey val="0"/>
            <c:showVal val="1"/>
            <c:showCatName val="0"/>
            <c:showSerName val="0"/>
            <c:showPercent val="0"/>
            <c:showBubbleSize val="0"/>
            <c:showLeaderLines val="0"/>
          </c:dLbls>
          <c:cat>
            <c:strRef>
              <c:f>'Trains Fréquence'!$A$6:$A$32</c:f>
              <c:strCache>
                <c:ptCount val="27"/>
                <c:pt idx="0">
                  <c:v>Estonie</c:v>
                </c:pt>
                <c:pt idx="1">
                  <c:v>Pologne</c:v>
                </c:pt>
                <c:pt idx="2">
                  <c:v>Bulgarie</c:v>
                </c:pt>
                <c:pt idx="3">
                  <c:v>F R A N C E</c:v>
                </c:pt>
                <c:pt idx="4">
                  <c:v>Croatie</c:v>
                </c:pt>
                <c:pt idx="5">
                  <c:v>Grèce</c:v>
                </c:pt>
                <c:pt idx="6">
                  <c:v>Italie</c:v>
                </c:pt>
                <c:pt idx="7">
                  <c:v>Lettonie</c:v>
                </c:pt>
                <c:pt idx="8">
                  <c:v>Roumanie</c:v>
                </c:pt>
                <c:pt idx="9">
                  <c:v>Belgique</c:v>
                </c:pt>
                <c:pt idx="10">
                  <c:v>Slovénie</c:v>
                </c:pt>
                <c:pt idx="11">
                  <c:v>Allemagne</c:v>
                </c:pt>
                <c:pt idx="12">
                  <c:v>Lituanie</c:v>
                </c:pt>
                <c:pt idx="13">
                  <c:v>U E 26</c:v>
                </c:pt>
                <c:pt idx="14">
                  <c:v>Slovaquie</c:v>
                </c:pt>
                <c:pt idx="15">
                  <c:v>Hongrie</c:v>
                </c:pt>
                <c:pt idx="16">
                  <c:v>Rép. Tchèque</c:v>
                </c:pt>
                <c:pt idx="17">
                  <c:v>Espagne</c:v>
                </c:pt>
                <c:pt idx="18">
                  <c:v>Finlande</c:v>
                </c:pt>
                <c:pt idx="19">
                  <c:v>Suède</c:v>
                </c:pt>
                <c:pt idx="20">
                  <c:v>Pays-Bas</c:v>
                </c:pt>
                <c:pt idx="21">
                  <c:v>Autriche</c:v>
                </c:pt>
                <c:pt idx="22">
                  <c:v>Danemark</c:v>
                </c:pt>
                <c:pt idx="23">
                  <c:v>Luxembourg</c:v>
                </c:pt>
                <c:pt idx="24">
                  <c:v>Royaume-Uni</c:v>
                </c:pt>
                <c:pt idx="25">
                  <c:v>Irlande</c:v>
                </c:pt>
                <c:pt idx="26">
                  <c:v>Portugal</c:v>
                </c:pt>
              </c:strCache>
            </c:strRef>
          </c:cat>
          <c:val>
            <c:numRef>
              <c:f>'Trains Fréquence'!$D$6:$D$32</c:f>
              <c:numCache>
                <c:formatCode>General</c:formatCode>
                <c:ptCount val="27"/>
                <c:pt idx="0">
                  <c:v>11.0</c:v>
                </c:pt>
                <c:pt idx="1">
                  <c:v>24.0</c:v>
                </c:pt>
                <c:pt idx="2">
                  <c:v>21.0</c:v>
                </c:pt>
                <c:pt idx="3">
                  <c:v>19.0</c:v>
                </c:pt>
                <c:pt idx="4">
                  <c:v>16.0</c:v>
                </c:pt>
                <c:pt idx="5">
                  <c:v>14.0</c:v>
                </c:pt>
                <c:pt idx="6">
                  <c:v>21.0</c:v>
                </c:pt>
                <c:pt idx="7">
                  <c:v>22.0</c:v>
                </c:pt>
                <c:pt idx="8">
                  <c:v>19.0</c:v>
                </c:pt>
                <c:pt idx="9">
                  <c:v>14.0</c:v>
                </c:pt>
                <c:pt idx="10">
                  <c:v>15.0</c:v>
                </c:pt>
                <c:pt idx="11">
                  <c:v>18.0</c:v>
                </c:pt>
                <c:pt idx="12">
                  <c:v>10.0</c:v>
                </c:pt>
                <c:pt idx="13">
                  <c:v>16.0</c:v>
                </c:pt>
                <c:pt idx="14">
                  <c:v>13.0</c:v>
                </c:pt>
                <c:pt idx="15">
                  <c:v>14.0</c:v>
                </c:pt>
                <c:pt idx="16">
                  <c:v>14.0</c:v>
                </c:pt>
                <c:pt idx="17">
                  <c:v>11.0</c:v>
                </c:pt>
                <c:pt idx="18">
                  <c:v>11.0</c:v>
                </c:pt>
                <c:pt idx="19">
                  <c:v>9.0</c:v>
                </c:pt>
                <c:pt idx="20">
                  <c:v>8.0</c:v>
                </c:pt>
                <c:pt idx="21">
                  <c:v>11.0</c:v>
                </c:pt>
                <c:pt idx="22">
                  <c:v>10.0</c:v>
                </c:pt>
                <c:pt idx="23">
                  <c:v>8.0</c:v>
                </c:pt>
                <c:pt idx="24">
                  <c:v>8.0</c:v>
                </c:pt>
                <c:pt idx="25">
                  <c:v>12.0</c:v>
                </c:pt>
                <c:pt idx="26">
                  <c:v>7.0</c:v>
                </c:pt>
              </c:numCache>
            </c:numRef>
          </c:val>
        </c:ser>
        <c:ser>
          <c:idx val="2"/>
          <c:order val="3"/>
          <c:tx>
            <c:strRef>
              <c:f>'Trains Fréquence'!$E$5</c:f>
              <c:strCache>
                <c:ptCount val="1"/>
                <c:pt idx="0">
                  <c:v>Très mécontent</c:v>
                </c:pt>
              </c:strCache>
            </c:strRef>
          </c:tx>
          <c:invertIfNegative val="0"/>
          <c:dLbls>
            <c:showLegendKey val="0"/>
            <c:showVal val="1"/>
            <c:showCatName val="0"/>
            <c:showSerName val="0"/>
            <c:showPercent val="0"/>
            <c:showBubbleSize val="0"/>
            <c:showLeaderLines val="0"/>
          </c:dLbls>
          <c:cat>
            <c:strRef>
              <c:f>'Trains Fréquence'!$A$6:$A$32</c:f>
              <c:strCache>
                <c:ptCount val="27"/>
                <c:pt idx="0">
                  <c:v>Estonie</c:v>
                </c:pt>
                <c:pt idx="1">
                  <c:v>Pologne</c:v>
                </c:pt>
                <c:pt idx="2">
                  <c:v>Bulgarie</c:v>
                </c:pt>
                <c:pt idx="3">
                  <c:v>F R A N C E</c:v>
                </c:pt>
                <c:pt idx="4">
                  <c:v>Croatie</c:v>
                </c:pt>
                <c:pt idx="5">
                  <c:v>Grèce</c:v>
                </c:pt>
                <c:pt idx="6">
                  <c:v>Italie</c:v>
                </c:pt>
                <c:pt idx="7">
                  <c:v>Lettonie</c:v>
                </c:pt>
                <c:pt idx="8">
                  <c:v>Roumanie</c:v>
                </c:pt>
                <c:pt idx="9">
                  <c:v>Belgique</c:v>
                </c:pt>
                <c:pt idx="10">
                  <c:v>Slovénie</c:v>
                </c:pt>
                <c:pt idx="11">
                  <c:v>Allemagne</c:v>
                </c:pt>
                <c:pt idx="12">
                  <c:v>Lituanie</c:v>
                </c:pt>
                <c:pt idx="13">
                  <c:v>U E 26</c:v>
                </c:pt>
                <c:pt idx="14">
                  <c:v>Slovaquie</c:v>
                </c:pt>
                <c:pt idx="15">
                  <c:v>Hongrie</c:v>
                </c:pt>
                <c:pt idx="16">
                  <c:v>Rép. Tchèque</c:v>
                </c:pt>
                <c:pt idx="17">
                  <c:v>Espagne</c:v>
                </c:pt>
                <c:pt idx="18">
                  <c:v>Finlande</c:v>
                </c:pt>
                <c:pt idx="19">
                  <c:v>Suède</c:v>
                </c:pt>
                <c:pt idx="20">
                  <c:v>Pays-Bas</c:v>
                </c:pt>
                <c:pt idx="21">
                  <c:v>Autriche</c:v>
                </c:pt>
                <c:pt idx="22">
                  <c:v>Danemark</c:v>
                </c:pt>
                <c:pt idx="23">
                  <c:v>Luxembourg</c:v>
                </c:pt>
                <c:pt idx="24">
                  <c:v>Royaume-Uni</c:v>
                </c:pt>
                <c:pt idx="25">
                  <c:v>Irlande</c:v>
                </c:pt>
                <c:pt idx="26">
                  <c:v>Portugal</c:v>
                </c:pt>
              </c:strCache>
            </c:strRef>
          </c:cat>
          <c:val>
            <c:numRef>
              <c:f>'Trains Fréquence'!$E$6:$E$32</c:f>
              <c:numCache>
                <c:formatCode>General</c:formatCode>
                <c:ptCount val="27"/>
                <c:pt idx="0">
                  <c:v>4.0</c:v>
                </c:pt>
                <c:pt idx="1">
                  <c:v>8.0</c:v>
                </c:pt>
                <c:pt idx="2">
                  <c:v>11.0</c:v>
                </c:pt>
                <c:pt idx="3">
                  <c:v>5.0</c:v>
                </c:pt>
                <c:pt idx="4">
                  <c:v>10.0</c:v>
                </c:pt>
                <c:pt idx="5">
                  <c:v>6.0</c:v>
                </c:pt>
                <c:pt idx="6">
                  <c:v>11.0</c:v>
                </c:pt>
                <c:pt idx="7">
                  <c:v>6.0</c:v>
                </c:pt>
                <c:pt idx="8">
                  <c:v>9.0</c:v>
                </c:pt>
                <c:pt idx="9">
                  <c:v>4.0</c:v>
                </c:pt>
                <c:pt idx="10">
                  <c:v>7.0</c:v>
                </c:pt>
                <c:pt idx="11">
                  <c:v>4.0</c:v>
                </c:pt>
                <c:pt idx="12">
                  <c:v>1.0</c:v>
                </c:pt>
                <c:pt idx="13">
                  <c:v>6.0</c:v>
                </c:pt>
                <c:pt idx="14">
                  <c:v>5.0</c:v>
                </c:pt>
                <c:pt idx="15">
                  <c:v>4.0</c:v>
                </c:pt>
                <c:pt idx="16">
                  <c:v>3.0</c:v>
                </c:pt>
                <c:pt idx="17">
                  <c:v>7.0</c:v>
                </c:pt>
                <c:pt idx="18">
                  <c:v>2.0</c:v>
                </c:pt>
                <c:pt idx="19">
                  <c:v>1.0</c:v>
                </c:pt>
                <c:pt idx="20">
                  <c:v>2.0</c:v>
                </c:pt>
                <c:pt idx="21">
                  <c:v>3.0</c:v>
                </c:pt>
                <c:pt idx="22">
                  <c:v>4.0</c:v>
                </c:pt>
                <c:pt idx="23">
                  <c:v>1.0</c:v>
                </c:pt>
                <c:pt idx="24">
                  <c:v>2.0</c:v>
                </c:pt>
                <c:pt idx="25">
                  <c:v>3.0</c:v>
                </c:pt>
                <c:pt idx="26">
                  <c:v>8.0</c:v>
                </c:pt>
              </c:numCache>
            </c:numRef>
          </c:val>
        </c:ser>
        <c:dLbls>
          <c:showLegendKey val="0"/>
          <c:showVal val="0"/>
          <c:showCatName val="0"/>
          <c:showSerName val="0"/>
          <c:showPercent val="0"/>
          <c:showBubbleSize val="0"/>
        </c:dLbls>
        <c:gapWidth val="150"/>
        <c:overlap val="100"/>
        <c:axId val="-2084871736"/>
        <c:axId val="-2085562824"/>
      </c:barChart>
      <c:catAx>
        <c:axId val="-2084871736"/>
        <c:scaling>
          <c:orientation val="minMax"/>
        </c:scaling>
        <c:delete val="0"/>
        <c:axPos val="b"/>
        <c:majorTickMark val="out"/>
        <c:minorTickMark val="none"/>
        <c:tickLblPos val="nextTo"/>
        <c:txPr>
          <a:bodyPr rot="-5400000" vert="horz"/>
          <a:lstStyle/>
          <a:p>
            <a:pPr>
              <a:defRPr/>
            </a:pPr>
            <a:endParaRPr lang="fr-FR"/>
          </a:p>
        </c:txPr>
        <c:crossAx val="-2085562824"/>
        <c:crosses val="autoZero"/>
        <c:auto val="1"/>
        <c:lblAlgn val="ctr"/>
        <c:lblOffset val="100"/>
        <c:noMultiLvlLbl val="0"/>
      </c:catAx>
      <c:valAx>
        <c:axId val="-2085562824"/>
        <c:scaling>
          <c:orientation val="minMax"/>
          <c:max val="100.0"/>
        </c:scaling>
        <c:delete val="0"/>
        <c:axPos val="l"/>
        <c:majorGridlines/>
        <c:numFmt formatCode="General" sourceLinked="1"/>
        <c:majorTickMark val="out"/>
        <c:minorTickMark val="none"/>
        <c:tickLblPos val="nextTo"/>
        <c:crossAx val="-2084871736"/>
        <c:crosses val="autoZero"/>
        <c:crossBetween val="between"/>
      </c:valAx>
    </c:plotArea>
    <c:legend>
      <c:legendPos val="b"/>
      <c:layout/>
      <c:overlay val="0"/>
    </c:legend>
    <c:plotVisOnly val="1"/>
    <c:dispBlanksAs val="gap"/>
    <c:showDLblsOverMax val="0"/>
  </c:chart>
  <c:spPr>
    <a:ln>
      <a:noFill/>
    </a:ln>
  </c:spPr>
  <c:txPr>
    <a:bodyPr/>
    <a:lstStyle/>
    <a:p>
      <a:pPr>
        <a:defRPr sz="1000"/>
      </a:pPr>
      <a:endParaRPr lang="fr-F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stacked"/>
        <c:varyColors val="0"/>
        <c:ser>
          <c:idx val="5"/>
          <c:order val="0"/>
          <c:tx>
            <c:strRef>
              <c:f>'Trains ponctualité'!$B$5</c:f>
              <c:strCache>
                <c:ptCount val="1"/>
                <c:pt idx="0">
                  <c:v>Très satisfait</c:v>
                </c:pt>
              </c:strCache>
            </c:strRef>
          </c:tx>
          <c:invertIfNegative val="0"/>
          <c:dLbls>
            <c:showLegendKey val="0"/>
            <c:showVal val="1"/>
            <c:showCatName val="0"/>
            <c:showSerName val="0"/>
            <c:showPercent val="0"/>
            <c:showBubbleSize val="0"/>
            <c:showLeaderLines val="0"/>
          </c:dLbls>
          <c:cat>
            <c:strRef>
              <c:f>'Trains ponctualité'!$A$6:$A$32</c:f>
              <c:strCache>
                <c:ptCount val="27"/>
                <c:pt idx="0">
                  <c:v>Pologne</c:v>
                </c:pt>
                <c:pt idx="1">
                  <c:v>Belgique</c:v>
                </c:pt>
                <c:pt idx="2">
                  <c:v>F R A N C E</c:v>
                </c:pt>
                <c:pt idx="3">
                  <c:v>Suède</c:v>
                </c:pt>
                <c:pt idx="4">
                  <c:v>Italie</c:v>
                </c:pt>
                <c:pt idx="5">
                  <c:v>Bulgarie</c:v>
                </c:pt>
                <c:pt idx="6">
                  <c:v>Allemagne</c:v>
                </c:pt>
                <c:pt idx="7">
                  <c:v>Pays-Bas</c:v>
                </c:pt>
                <c:pt idx="8">
                  <c:v>Hongrie</c:v>
                </c:pt>
                <c:pt idx="9">
                  <c:v>Croatie</c:v>
                </c:pt>
                <c:pt idx="10">
                  <c:v>Rép. Tchèque</c:v>
                </c:pt>
                <c:pt idx="11">
                  <c:v>Roumanie</c:v>
                </c:pt>
                <c:pt idx="12">
                  <c:v>U E 26</c:v>
                </c:pt>
                <c:pt idx="13">
                  <c:v>Danemark</c:v>
                </c:pt>
                <c:pt idx="14">
                  <c:v>Grèce</c:v>
                </c:pt>
                <c:pt idx="15">
                  <c:v>Finlande</c:v>
                </c:pt>
                <c:pt idx="16">
                  <c:v>Slovaquie</c:v>
                </c:pt>
                <c:pt idx="17">
                  <c:v>Estonie</c:v>
                </c:pt>
                <c:pt idx="18">
                  <c:v>Slovénie</c:v>
                </c:pt>
                <c:pt idx="19">
                  <c:v>Lettonie</c:v>
                </c:pt>
                <c:pt idx="20">
                  <c:v>Royaume-Uni</c:v>
                </c:pt>
                <c:pt idx="21">
                  <c:v>Espagne</c:v>
                </c:pt>
                <c:pt idx="22">
                  <c:v>Luxembourg</c:v>
                </c:pt>
                <c:pt idx="23">
                  <c:v>Autriche</c:v>
                </c:pt>
                <c:pt idx="24">
                  <c:v>Lituanie</c:v>
                </c:pt>
                <c:pt idx="25">
                  <c:v>Irlande</c:v>
                </c:pt>
                <c:pt idx="26">
                  <c:v>Portugal</c:v>
                </c:pt>
              </c:strCache>
            </c:strRef>
          </c:cat>
          <c:val>
            <c:numRef>
              <c:f>'Trains ponctualité'!$B$6:$B$32</c:f>
              <c:numCache>
                <c:formatCode>General</c:formatCode>
                <c:ptCount val="27"/>
                <c:pt idx="0">
                  <c:v>4.0</c:v>
                </c:pt>
                <c:pt idx="1">
                  <c:v>7.0</c:v>
                </c:pt>
                <c:pt idx="2">
                  <c:v>7.0</c:v>
                </c:pt>
                <c:pt idx="3">
                  <c:v>7.0</c:v>
                </c:pt>
                <c:pt idx="4">
                  <c:v>8.0</c:v>
                </c:pt>
                <c:pt idx="5">
                  <c:v>9.0</c:v>
                </c:pt>
                <c:pt idx="6">
                  <c:v>9.0</c:v>
                </c:pt>
                <c:pt idx="7">
                  <c:v>10.0</c:v>
                </c:pt>
                <c:pt idx="8">
                  <c:v>11.0</c:v>
                </c:pt>
                <c:pt idx="9">
                  <c:v>12.0</c:v>
                </c:pt>
                <c:pt idx="10">
                  <c:v>13.0</c:v>
                </c:pt>
                <c:pt idx="11">
                  <c:v>13.0</c:v>
                </c:pt>
                <c:pt idx="12">
                  <c:v>14.0</c:v>
                </c:pt>
                <c:pt idx="13">
                  <c:v>14.0</c:v>
                </c:pt>
                <c:pt idx="14">
                  <c:v>14.0</c:v>
                </c:pt>
                <c:pt idx="15">
                  <c:v>14.0</c:v>
                </c:pt>
                <c:pt idx="16">
                  <c:v>16.0</c:v>
                </c:pt>
                <c:pt idx="17">
                  <c:v>20.0</c:v>
                </c:pt>
                <c:pt idx="18">
                  <c:v>22.0</c:v>
                </c:pt>
                <c:pt idx="19">
                  <c:v>24.0</c:v>
                </c:pt>
                <c:pt idx="20">
                  <c:v>24.0</c:v>
                </c:pt>
                <c:pt idx="21">
                  <c:v>25.0</c:v>
                </c:pt>
                <c:pt idx="22">
                  <c:v>25.0</c:v>
                </c:pt>
                <c:pt idx="23">
                  <c:v>25.0</c:v>
                </c:pt>
                <c:pt idx="24">
                  <c:v>26.0</c:v>
                </c:pt>
                <c:pt idx="25">
                  <c:v>36.0</c:v>
                </c:pt>
                <c:pt idx="26">
                  <c:v>36.0</c:v>
                </c:pt>
              </c:numCache>
            </c:numRef>
          </c:val>
        </c:ser>
        <c:ser>
          <c:idx val="0"/>
          <c:order val="1"/>
          <c:tx>
            <c:strRef>
              <c:f>'Trains ponctualité'!$C$5</c:f>
              <c:strCache>
                <c:ptCount val="1"/>
                <c:pt idx="0">
                  <c:v>Satisfait</c:v>
                </c:pt>
              </c:strCache>
            </c:strRef>
          </c:tx>
          <c:invertIfNegative val="0"/>
          <c:dLbls>
            <c:showLegendKey val="0"/>
            <c:showVal val="1"/>
            <c:showCatName val="0"/>
            <c:showSerName val="0"/>
            <c:showPercent val="0"/>
            <c:showBubbleSize val="0"/>
            <c:showLeaderLines val="0"/>
          </c:dLbls>
          <c:cat>
            <c:strRef>
              <c:f>'Trains ponctualité'!$A$6:$A$32</c:f>
              <c:strCache>
                <c:ptCount val="27"/>
                <c:pt idx="0">
                  <c:v>Pologne</c:v>
                </c:pt>
                <c:pt idx="1">
                  <c:v>Belgique</c:v>
                </c:pt>
                <c:pt idx="2">
                  <c:v>F R A N C E</c:v>
                </c:pt>
                <c:pt idx="3">
                  <c:v>Suède</c:v>
                </c:pt>
                <c:pt idx="4">
                  <c:v>Italie</c:v>
                </c:pt>
                <c:pt idx="5">
                  <c:v>Bulgarie</c:v>
                </c:pt>
                <c:pt idx="6">
                  <c:v>Allemagne</c:v>
                </c:pt>
                <c:pt idx="7">
                  <c:v>Pays-Bas</c:v>
                </c:pt>
                <c:pt idx="8">
                  <c:v>Hongrie</c:v>
                </c:pt>
                <c:pt idx="9">
                  <c:v>Croatie</c:v>
                </c:pt>
                <c:pt idx="10">
                  <c:v>Rép. Tchèque</c:v>
                </c:pt>
                <c:pt idx="11">
                  <c:v>Roumanie</c:v>
                </c:pt>
                <c:pt idx="12">
                  <c:v>U E 26</c:v>
                </c:pt>
                <c:pt idx="13">
                  <c:v>Danemark</c:v>
                </c:pt>
                <c:pt idx="14">
                  <c:v>Grèce</c:v>
                </c:pt>
                <c:pt idx="15">
                  <c:v>Finlande</c:v>
                </c:pt>
                <c:pt idx="16">
                  <c:v>Slovaquie</c:v>
                </c:pt>
                <c:pt idx="17">
                  <c:v>Estonie</c:v>
                </c:pt>
                <c:pt idx="18">
                  <c:v>Slovénie</c:v>
                </c:pt>
                <c:pt idx="19">
                  <c:v>Lettonie</c:v>
                </c:pt>
                <c:pt idx="20">
                  <c:v>Royaume-Uni</c:v>
                </c:pt>
                <c:pt idx="21">
                  <c:v>Espagne</c:v>
                </c:pt>
                <c:pt idx="22">
                  <c:v>Luxembourg</c:v>
                </c:pt>
                <c:pt idx="23">
                  <c:v>Autriche</c:v>
                </c:pt>
                <c:pt idx="24">
                  <c:v>Lituanie</c:v>
                </c:pt>
                <c:pt idx="25">
                  <c:v>Irlande</c:v>
                </c:pt>
                <c:pt idx="26">
                  <c:v>Portugal</c:v>
                </c:pt>
              </c:strCache>
            </c:strRef>
          </c:cat>
          <c:val>
            <c:numRef>
              <c:f>'Trains ponctualité'!$C$6:$C$32</c:f>
              <c:numCache>
                <c:formatCode>General</c:formatCode>
                <c:ptCount val="27"/>
                <c:pt idx="0">
                  <c:v>32.0</c:v>
                </c:pt>
                <c:pt idx="1">
                  <c:v>47.0</c:v>
                </c:pt>
                <c:pt idx="2">
                  <c:v>50.0</c:v>
                </c:pt>
                <c:pt idx="3">
                  <c:v>43.0</c:v>
                </c:pt>
                <c:pt idx="4">
                  <c:v>34.0</c:v>
                </c:pt>
                <c:pt idx="5">
                  <c:v>33.0</c:v>
                </c:pt>
                <c:pt idx="6">
                  <c:v>39.0</c:v>
                </c:pt>
                <c:pt idx="7">
                  <c:v>46.0</c:v>
                </c:pt>
                <c:pt idx="8">
                  <c:v>40.0</c:v>
                </c:pt>
                <c:pt idx="9">
                  <c:v>29.0</c:v>
                </c:pt>
                <c:pt idx="10">
                  <c:v>48.0</c:v>
                </c:pt>
                <c:pt idx="11">
                  <c:v>28.0</c:v>
                </c:pt>
                <c:pt idx="12">
                  <c:v>41.0</c:v>
                </c:pt>
                <c:pt idx="13">
                  <c:v>44.0</c:v>
                </c:pt>
                <c:pt idx="14">
                  <c:v>36.0</c:v>
                </c:pt>
                <c:pt idx="15">
                  <c:v>53.0</c:v>
                </c:pt>
                <c:pt idx="16">
                  <c:v>38.0</c:v>
                </c:pt>
                <c:pt idx="17">
                  <c:v>19.0</c:v>
                </c:pt>
                <c:pt idx="18">
                  <c:v>32.0</c:v>
                </c:pt>
                <c:pt idx="19">
                  <c:v>50.0</c:v>
                </c:pt>
                <c:pt idx="20">
                  <c:v>49.0</c:v>
                </c:pt>
                <c:pt idx="21">
                  <c:v>46.0</c:v>
                </c:pt>
                <c:pt idx="22">
                  <c:v>46.0</c:v>
                </c:pt>
                <c:pt idx="23">
                  <c:v>48.0</c:v>
                </c:pt>
                <c:pt idx="24">
                  <c:v>28.0</c:v>
                </c:pt>
                <c:pt idx="25">
                  <c:v>42.0</c:v>
                </c:pt>
                <c:pt idx="26">
                  <c:v>33.0</c:v>
                </c:pt>
              </c:numCache>
            </c:numRef>
          </c:val>
        </c:ser>
        <c:ser>
          <c:idx val="1"/>
          <c:order val="2"/>
          <c:tx>
            <c:strRef>
              <c:f>'Trains ponctualité'!$D$5</c:f>
              <c:strCache>
                <c:ptCount val="1"/>
                <c:pt idx="0">
                  <c:v>Insatisfait</c:v>
                </c:pt>
              </c:strCache>
            </c:strRef>
          </c:tx>
          <c:invertIfNegative val="0"/>
          <c:dLbls>
            <c:showLegendKey val="0"/>
            <c:showVal val="1"/>
            <c:showCatName val="0"/>
            <c:showSerName val="0"/>
            <c:showPercent val="0"/>
            <c:showBubbleSize val="0"/>
            <c:showLeaderLines val="0"/>
          </c:dLbls>
          <c:cat>
            <c:strRef>
              <c:f>'Trains ponctualité'!$A$6:$A$32</c:f>
              <c:strCache>
                <c:ptCount val="27"/>
                <c:pt idx="0">
                  <c:v>Pologne</c:v>
                </c:pt>
                <c:pt idx="1">
                  <c:v>Belgique</c:v>
                </c:pt>
                <c:pt idx="2">
                  <c:v>F R A N C E</c:v>
                </c:pt>
                <c:pt idx="3">
                  <c:v>Suède</c:v>
                </c:pt>
                <c:pt idx="4">
                  <c:v>Italie</c:v>
                </c:pt>
                <c:pt idx="5">
                  <c:v>Bulgarie</c:v>
                </c:pt>
                <c:pt idx="6">
                  <c:v>Allemagne</c:v>
                </c:pt>
                <c:pt idx="7">
                  <c:v>Pays-Bas</c:v>
                </c:pt>
                <c:pt idx="8">
                  <c:v>Hongrie</c:v>
                </c:pt>
                <c:pt idx="9">
                  <c:v>Croatie</c:v>
                </c:pt>
                <c:pt idx="10">
                  <c:v>Rép. Tchèque</c:v>
                </c:pt>
                <c:pt idx="11">
                  <c:v>Roumanie</c:v>
                </c:pt>
                <c:pt idx="12">
                  <c:v>U E 26</c:v>
                </c:pt>
                <c:pt idx="13">
                  <c:v>Danemark</c:v>
                </c:pt>
                <c:pt idx="14">
                  <c:v>Grèce</c:v>
                </c:pt>
                <c:pt idx="15">
                  <c:v>Finlande</c:v>
                </c:pt>
                <c:pt idx="16">
                  <c:v>Slovaquie</c:v>
                </c:pt>
                <c:pt idx="17">
                  <c:v>Estonie</c:v>
                </c:pt>
                <c:pt idx="18">
                  <c:v>Slovénie</c:v>
                </c:pt>
                <c:pt idx="19">
                  <c:v>Lettonie</c:v>
                </c:pt>
                <c:pt idx="20">
                  <c:v>Royaume-Uni</c:v>
                </c:pt>
                <c:pt idx="21">
                  <c:v>Espagne</c:v>
                </c:pt>
                <c:pt idx="22">
                  <c:v>Luxembourg</c:v>
                </c:pt>
                <c:pt idx="23">
                  <c:v>Autriche</c:v>
                </c:pt>
                <c:pt idx="24">
                  <c:v>Lituanie</c:v>
                </c:pt>
                <c:pt idx="25">
                  <c:v>Irlande</c:v>
                </c:pt>
                <c:pt idx="26">
                  <c:v>Portugal</c:v>
                </c:pt>
              </c:strCache>
            </c:strRef>
          </c:cat>
          <c:val>
            <c:numRef>
              <c:f>'Trains ponctualité'!$D$6:$D$32</c:f>
              <c:numCache>
                <c:formatCode>General</c:formatCode>
                <c:ptCount val="27"/>
                <c:pt idx="0">
                  <c:v>29.0</c:v>
                </c:pt>
                <c:pt idx="1">
                  <c:v>27.0</c:v>
                </c:pt>
                <c:pt idx="2">
                  <c:v>29.0</c:v>
                </c:pt>
                <c:pt idx="3">
                  <c:v>24.0</c:v>
                </c:pt>
                <c:pt idx="4">
                  <c:v>28.0</c:v>
                </c:pt>
                <c:pt idx="5">
                  <c:v>20.0</c:v>
                </c:pt>
                <c:pt idx="6">
                  <c:v>30.0</c:v>
                </c:pt>
                <c:pt idx="7">
                  <c:v>21.0</c:v>
                </c:pt>
                <c:pt idx="8">
                  <c:v>20.0</c:v>
                </c:pt>
                <c:pt idx="9">
                  <c:v>16.0</c:v>
                </c:pt>
                <c:pt idx="10">
                  <c:v>19.0</c:v>
                </c:pt>
                <c:pt idx="11">
                  <c:v>23.0</c:v>
                </c:pt>
                <c:pt idx="12">
                  <c:v>21.0</c:v>
                </c:pt>
                <c:pt idx="13">
                  <c:v>18.0</c:v>
                </c:pt>
                <c:pt idx="14">
                  <c:v>12.0</c:v>
                </c:pt>
                <c:pt idx="15">
                  <c:v>20.0</c:v>
                </c:pt>
                <c:pt idx="16">
                  <c:v>14.0</c:v>
                </c:pt>
                <c:pt idx="17">
                  <c:v>1.0</c:v>
                </c:pt>
                <c:pt idx="18">
                  <c:v>8.0</c:v>
                </c:pt>
                <c:pt idx="19">
                  <c:v>4.0</c:v>
                </c:pt>
                <c:pt idx="20">
                  <c:v>10.0</c:v>
                </c:pt>
                <c:pt idx="21">
                  <c:v>8.0</c:v>
                </c:pt>
                <c:pt idx="22">
                  <c:v>13.0</c:v>
                </c:pt>
                <c:pt idx="23">
                  <c:v>11.0</c:v>
                </c:pt>
                <c:pt idx="24">
                  <c:v>1.0</c:v>
                </c:pt>
                <c:pt idx="25">
                  <c:v>7.0</c:v>
                </c:pt>
                <c:pt idx="26">
                  <c:v>7.0</c:v>
                </c:pt>
              </c:numCache>
            </c:numRef>
          </c:val>
        </c:ser>
        <c:ser>
          <c:idx val="2"/>
          <c:order val="3"/>
          <c:tx>
            <c:strRef>
              <c:f>'Trains ponctualité'!$E$5</c:f>
              <c:strCache>
                <c:ptCount val="1"/>
                <c:pt idx="0">
                  <c:v>Très mécontent</c:v>
                </c:pt>
              </c:strCache>
            </c:strRef>
          </c:tx>
          <c:invertIfNegative val="0"/>
          <c:dLbls>
            <c:showLegendKey val="0"/>
            <c:showVal val="1"/>
            <c:showCatName val="0"/>
            <c:showSerName val="0"/>
            <c:showPercent val="0"/>
            <c:showBubbleSize val="0"/>
            <c:showLeaderLines val="0"/>
          </c:dLbls>
          <c:cat>
            <c:strRef>
              <c:f>'Trains ponctualité'!$A$6:$A$32</c:f>
              <c:strCache>
                <c:ptCount val="27"/>
                <c:pt idx="0">
                  <c:v>Pologne</c:v>
                </c:pt>
                <c:pt idx="1">
                  <c:v>Belgique</c:v>
                </c:pt>
                <c:pt idx="2">
                  <c:v>F R A N C E</c:v>
                </c:pt>
                <c:pt idx="3">
                  <c:v>Suède</c:v>
                </c:pt>
                <c:pt idx="4">
                  <c:v>Italie</c:v>
                </c:pt>
                <c:pt idx="5">
                  <c:v>Bulgarie</c:v>
                </c:pt>
                <c:pt idx="6">
                  <c:v>Allemagne</c:v>
                </c:pt>
                <c:pt idx="7">
                  <c:v>Pays-Bas</c:v>
                </c:pt>
                <c:pt idx="8">
                  <c:v>Hongrie</c:v>
                </c:pt>
                <c:pt idx="9">
                  <c:v>Croatie</c:v>
                </c:pt>
                <c:pt idx="10">
                  <c:v>Rép. Tchèque</c:v>
                </c:pt>
                <c:pt idx="11">
                  <c:v>Roumanie</c:v>
                </c:pt>
                <c:pt idx="12">
                  <c:v>U E 26</c:v>
                </c:pt>
                <c:pt idx="13">
                  <c:v>Danemark</c:v>
                </c:pt>
                <c:pt idx="14">
                  <c:v>Grèce</c:v>
                </c:pt>
                <c:pt idx="15">
                  <c:v>Finlande</c:v>
                </c:pt>
                <c:pt idx="16">
                  <c:v>Slovaquie</c:v>
                </c:pt>
                <c:pt idx="17">
                  <c:v>Estonie</c:v>
                </c:pt>
                <c:pt idx="18">
                  <c:v>Slovénie</c:v>
                </c:pt>
                <c:pt idx="19">
                  <c:v>Lettonie</c:v>
                </c:pt>
                <c:pt idx="20">
                  <c:v>Royaume-Uni</c:v>
                </c:pt>
                <c:pt idx="21">
                  <c:v>Espagne</c:v>
                </c:pt>
                <c:pt idx="22">
                  <c:v>Luxembourg</c:v>
                </c:pt>
                <c:pt idx="23">
                  <c:v>Autriche</c:v>
                </c:pt>
                <c:pt idx="24">
                  <c:v>Lituanie</c:v>
                </c:pt>
                <c:pt idx="25">
                  <c:v>Irlande</c:v>
                </c:pt>
                <c:pt idx="26">
                  <c:v>Portugal</c:v>
                </c:pt>
              </c:strCache>
            </c:strRef>
          </c:cat>
          <c:val>
            <c:numRef>
              <c:f>'Trains ponctualité'!$E$6:$E$32</c:f>
              <c:numCache>
                <c:formatCode>General</c:formatCode>
                <c:ptCount val="27"/>
                <c:pt idx="0">
                  <c:v>11.0</c:v>
                </c:pt>
                <c:pt idx="1">
                  <c:v>7.0</c:v>
                </c:pt>
                <c:pt idx="2">
                  <c:v>10.0</c:v>
                </c:pt>
                <c:pt idx="3">
                  <c:v>11.0</c:v>
                </c:pt>
                <c:pt idx="4">
                  <c:v>16.0</c:v>
                </c:pt>
                <c:pt idx="5">
                  <c:v>8.0</c:v>
                </c:pt>
                <c:pt idx="6">
                  <c:v>12.0</c:v>
                </c:pt>
                <c:pt idx="7">
                  <c:v>7.0</c:v>
                </c:pt>
                <c:pt idx="8">
                  <c:v>7.0</c:v>
                </c:pt>
                <c:pt idx="9">
                  <c:v>11.0</c:v>
                </c:pt>
                <c:pt idx="10">
                  <c:v>3.0</c:v>
                </c:pt>
                <c:pt idx="11">
                  <c:v>12.0</c:v>
                </c:pt>
                <c:pt idx="12">
                  <c:v>9.0</c:v>
                </c:pt>
                <c:pt idx="13">
                  <c:v>6.0</c:v>
                </c:pt>
                <c:pt idx="14">
                  <c:v>4.0</c:v>
                </c:pt>
                <c:pt idx="15">
                  <c:v>3.0</c:v>
                </c:pt>
                <c:pt idx="16">
                  <c:v>4.0</c:v>
                </c:pt>
                <c:pt idx="17">
                  <c:v>0.0</c:v>
                </c:pt>
                <c:pt idx="18">
                  <c:v>4.0</c:v>
                </c:pt>
                <c:pt idx="19">
                  <c:v>1.0</c:v>
                </c:pt>
                <c:pt idx="20">
                  <c:v>4.0</c:v>
                </c:pt>
                <c:pt idx="21">
                  <c:v>3.0</c:v>
                </c:pt>
                <c:pt idx="22">
                  <c:v>2.0</c:v>
                </c:pt>
                <c:pt idx="23">
                  <c:v>1.0</c:v>
                </c:pt>
                <c:pt idx="24">
                  <c:v>1.0</c:v>
                </c:pt>
                <c:pt idx="25">
                  <c:v>2.0</c:v>
                </c:pt>
                <c:pt idx="26">
                  <c:v>6.0</c:v>
                </c:pt>
              </c:numCache>
            </c:numRef>
          </c:val>
        </c:ser>
        <c:dLbls>
          <c:showLegendKey val="0"/>
          <c:showVal val="0"/>
          <c:showCatName val="0"/>
          <c:showSerName val="0"/>
          <c:showPercent val="0"/>
          <c:showBubbleSize val="0"/>
        </c:dLbls>
        <c:gapWidth val="150"/>
        <c:overlap val="100"/>
        <c:axId val="-2052673560"/>
        <c:axId val="-2052670392"/>
      </c:barChart>
      <c:catAx>
        <c:axId val="-2052673560"/>
        <c:scaling>
          <c:orientation val="minMax"/>
        </c:scaling>
        <c:delete val="0"/>
        <c:axPos val="b"/>
        <c:majorTickMark val="out"/>
        <c:minorTickMark val="none"/>
        <c:tickLblPos val="nextTo"/>
        <c:txPr>
          <a:bodyPr rot="-5400000" vert="horz"/>
          <a:lstStyle/>
          <a:p>
            <a:pPr>
              <a:defRPr/>
            </a:pPr>
            <a:endParaRPr lang="fr-FR"/>
          </a:p>
        </c:txPr>
        <c:crossAx val="-2052670392"/>
        <c:crosses val="autoZero"/>
        <c:auto val="1"/>
        <c:lblAlgn val="ctr"/>
        <c:lblOffset val="100"/>
        <c:noMultiLvlLbl val="0"/>
      </c:catAx>
      <c:valAx>
        <c:axId val="-2052670392"/>
        <c:scaling>
          <c:orientation val="minMax"/>
          <c:max val="100.0"/>
        </c:scaling>
        <c:delete val="0"/>
        <c:axPos val="l"/>
        <c:majorGridlines/>
        <c:numFmt formatCode="General" sourceLinked="1"/>
        <c:majorTickMark val="out"/>
        <c:minorTickMark val="none"/>
        <c:tickLblPos val="nextTo"/>
        <c:crossAx val="-2052673560"/>
        <c:crosses val="autoZero"/>
        <c:crossBetween val="between"/>
      </c:valAx>
    </c:plotArea>
    <c:legend>
      <c:legendPos val="b"/>
      <c:layout/>
      <c:overlay val="0"/>
    </c:legend>
    <c:plotVisOnly val="1"/>
    <c:dispBlanksAs val="gap"/>
    <c:showDLblsOverMax val="0"/>
  </c:chart>
  <c:spPr>
    <a:ln>
      <a:noFill/>
    </a:ln>
  </c:spPr>
  <c:txPr>
    <a:bodyPr/>
    <a:lstStyle/>
    <a:p>
      <a:pPr>
        <a:defRPr sz="1000"/>
      </a:pPr>
      <a:endParaRPr lang="fr-F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stacked"/>
        <c:varyColors val="0"/>
        <c:ser>
          <c:idx val="5"/>
          <c:order val="0"/>
          <c:tx>
            <c:strRef>
              <c:f>'Trains info retard'!$B$5</c:f>
              <c:strCache>
                <c:ptCount val="1"/>
                <c:pt idx="0">
                  <c:v>Très satisfait</c:v>
                </c:pt>
              </c:strCache>
            </c:strRef>
          </c:tx>
          <c:invertIfNegative val="0"/>
          <c:dLbls>
            <c:showLegendKey val="0"/>
            <c:showVal val="1"/>
            <c:showCatName val="0"/>
            <c:showSerName val="0"/>
            <c:showPercent val="0"/>
            <c:showBubbleSize val="0"/>
            <c:showLeaderLines val="0"/>
          </c:dLbls>
          <c:cat>
            <c:strRef>
              <c:f>'Trains info retard'!$A$6:$A$32</c:f>
              <c:strCache>
                <c:ptCount val="27"/>
                <c:pt idx="0">
                  <c:v>Pologne</c:v>
                </c:pt>
                <c:pt idx="1">
                  <c:v>Estonie</c:v>
                </c:pt>
                <c:pt idx="2">
                  <c:v>F R A N C E</c:v>
                </c:pt>
                <c:pt idx="3">
                  <c:v>Bulgarie</c:v>
                </c:pt>
                <c:pt idx="4">
                  <c:v>Belgique</c:v>
                </c:pt>
                <c:pt idx="5">
                  <c:v>Allemagne</c:v>
                </c:pt>
                <c:pt idx="6">
                  <c:v>Italie</c:v>
                </c:pt>
                <c:pt idx="7">
                  <c:v>Grèce</c:v>
                </c:pt>
                <c:pt idx="8">
                  <c:v>Roumanie</c:v>
                </c:pt>
                <c:pt idx="9">
                  <c:v>Suède</c:v>
                </c:pt>
                <c:pt idx="10">
                  <c:v>Lettonie</c:v>
                </c:pt>
                <c:pt idx="11">
                  <c:v>Hongrie</c:v>
                </c:pt>
                <c:pt idx="12">
                  <c:v>Croatie</c:v>
                </c:pt>
                <c:pt idx="13">
                  <c:v>U E 26</c:v>
                </c:pt>
                <c:pt idx="14">
                  <c:v>Danemark</c:v>
                </c:pt>
                <c:pt idx="15">
                  <c:v>Luxembourg</c:v>
                </c:pt>
                <c:pt idx="16">
                  <c:v>Pays-Bas</c:v>
                </c:pt>
                <c:pt idx="17">
                  <c:v>Slovénie</c:v>
                </c:pt>
                <c:pt idx="18">
                  <c:v>Espagne</c:v>
                </c:pt>
                <c:pt idx="19">
                  <c:v>Slovaquie</c:v>
                </c:pt>
                <c:pt idx="20">
                  <c:v>Rép. Tchèque</c:v>
                </c:pt>
                <c:pt idx="21">
                  <c:v>Finlande</c:v>
                </c:pt>
                <c:pt idx="22">
                  <c:v>Autriche</c:v>
                </c:pt>
                <c:pt idx="23">
                  <c:v>Lituanie</c:v>
                </c:pt>
                <c:pt idx="24">
                  <c:v>Irlande</c:v>
                </c:pt>
                <c:pt idx="25">
                  <c:v>Portugal</c:v>
                </c:pt>
                <c:pt idx="26">
                  <c:v>Royaume-Uni</c:v>
                </c:pt>
              </c:strCache>
            </c:strRef>
          </c:cat>
          <c:val>
            <c:numRef>
              <c:f>'Trains info retard'!$B$6:$B$32</c:f>
              <c:numCache>
                <c:formatCode>General</c:formatCode>
                <c:ptCount val="27"/>
                <c:pt idx="0">
                  <c:v>5.0</c:v>
                </c:pt>
                <c:pt idx="1">
                  <c:v>6.0</c:v>
                </c:pt>
                <c:pt idx="2">
                  <c:v>7.0</c:v>
                </c:pt>
                <c:pt idx="3">
                  <c:v>8.0</c:v>
                </c:pt>
                <c:pt idx="4">
                  <c:v>9.0</c:v>
                </c:pt>
                <c:pt idx="5">
                  <c:v>9.0</c:v>
                </c:pt>
                <c:pt idx="6">
                  <c:v>9.0</c:v>
                </c:pt>
                <c:pt idx="7">
                  <c:v>10.0</c:v>
                </c:pt>
                <c:pt idx="8">
                  <c:v>10.0</c:v>
                </c:pt>
                <c:pt idx="9">
                  <c:v>11.0</c:v>
                </c:pt>
                <c:pt idx="10">
                  <c:v>12.0</c:v>
                </c:pt>
                <c:pt idx="11">
                  <c:v>12.0</c:v>
                </c:pt>
                <c:pt idx="12">
                  <c:v>12.0</c:v>
                </c:pt>
                <c:pt idx="13">
                  <c:v>13.0</c:v>
                </c:pt>
                <c:pt idx="14">
                  <c:v>14.0</c:v>
                </c:pt>
                <c:pt idx="15">
                  <c:v>14.0</c:v>
                </c:pt>
                <c:pt idx="16">
                  <c:v>14.0</c:v>
                </c:pt>
                <c:pt idx="17">
                  <c:v>14.0</c:v>
                </c:pt>
                <c:pt idx="18">
                  <c:v>16.0</c:v>
                </c:pt>
                <c:pt idx="19">
                  <c:v>16.0</c:v>
                </c:pt>
                <c:pt idx="20">
                  <c:v>17.0</c:v>
                </c:pt>
                <c:pt idx="21">
                  <c:v>17.0</c:v>
                </c:pt>
                <c:pt idx="22">
                  <c:v>18.0</c:v>
                </c:pt>
                <c:pt idx="23">
                  <c:v>19.0</c:v>
                </c:pt>
                <c:pt idx="24">
                  <c:v>24.0</c:v>
                </c:pt>
                <c:pt idx="25">
                  <c:v>28.0</c:v>
                </c:pt>
                <c:pt idx="26">
                  <c:v>29.0</c:v>
                </c:pt>
              </c:numCache>
            </c:numRef>
          </c:val>
        </c:ser>
        <c:ser>
          <c:idx val="0"/>
          <c:order val="1"/>
          <c:tx>
            <c:strRef>
              <c:f>'Trains info retard'!$C$5</c:f>
              <c:strCache>
                <c:ptCount val="1"/>
                <c:pt idx="0">
                  <c:v>Satisfait</c:v>
                </c:pt>
              </c:strCache>
            </c:strRef>
          </c:tx>
          <c:invertIfNegative val="0"/>
          <c:dLbls>
            <c:showLegendKey val="0"/>
            <c:showVal val="1"/>
            <c:showCatName val="0"/>
            <c:showSerName val="0"/>
            <c:showPercent val="0"/>
            <c:showBubbleSize val="0"/>
            <c:showLeaderLines val="0"/>
          </c:dLbls>
          <c:cat>
            <c:strRef>
              <c:f>'Trains info retard'!$A$6:$A$32</c:f>
              <c:strCache>
                <c:ptCount val="27"/>
                <c:pt idx="0">
                  <c:v>Pologne</c:v>
                </c:pt>
                <c:pt idx="1">
                  <c:v>Estonie</c:v>
                </c:pt>
                <c:pt idx="2">
                  <c:v>F R A N C E</c:v>
                </c:pt>
                <c:pt idx="3">
                  <c:v>Bulgarie</c:v>
                </c:pt>
                <c:pt idx="4">
                  <c:v>Belgique</c:v>
                </c:pt>
                <c:pt idx="5">
                  <c:v>Allemagne</c:v>
                </c:pt>
                <c:pt idx="6">
                  <c:v>Italie</c:v>
                </c:pt>
                <c:pt idx="7">
                  <c:v>Grèce</c:v>
                </c:pt>
                <c:pt idx="8">
                  <c:v>Roumanie</c:v>
                </c:pt>
                <c:pt idx="9">
                  <c:v>Suède</c:v>
                </c:pt>
                <c:pt idx="10">
                  <c:v>Lettonie</c:v>
                </c:pt>
                <c:pt idx="11">
                  <c:v>Hongrie</c:v>
                </c:pt>
                <c:pt idx="12">
                  <c:v>Croatie</c:v>
                </c:pt>
                <c:pt idx="13">
                  <c:v>U E 26</c:v>
                </c:pt>
                <c:pt idx="14">
                  <c:v>Danemark</c:v>
                </c:pt>
                <c:pt idx="15">
                  <c:v>Luxembourg</c:v>
                </c:pt>
                <c:pt idx="16">
                  <c:v>Pays-Bas</c:v>
                </c:pt>
                <c:pt idx="17">
                  <c:v>Slovénie</c:v>
                </c:pt>
                <c:pt idx="18">
                  <c:v>Espagne</c:v>
                </c:pt>
                <c:pt idx="19">
                  <c:v>Slovaquie</c:v>
                </c:pt>
                <c:pt idx="20">
                  <c:v>Rép. Tchèque</c:v>
                </c:pt>
                <c:pt idx="21">
                  <c:v>Finlande</c:v>
                </c:pt>
                <c:pt idx="22">
                  <c:v>Autriche</c:v>
                </c:pt>
                <c:pt idx="23">
                  <c:v>Lituanie</c:v>
                </c:pt>
                <c:pt idx="24">
                  <c:v>Irlande</c:v>
                </c:pt>
                <c:pt idx="25">
                  <c:v>Portugal</c:v>
                </c:pt>
                <c:pt idx="26">
                  <c:v>Royaume-Uni</c:v>
                </c:pt>
              </c:strCache>
            </c:strRef>
          </c:cat>
          <c:val>
            <c:numRef>
              <c:f>'Trains info retard'!$C$6:$C$32</c:f>
              <c:numCache>
                <c:formatCode>General</c:formatCode>
                <c:ptCount val="27"/>
                <c:pt idx="0">
                  <c:v>29.0</c:v>
                </c:pt>
                <c:pt idx="1">
                  <c:v>10.0</c:v>
                </c:pt>
                <c:pt idx="2">
                  <c:v>36.0</c:v>
                </c:pt>
                <c:pt idx="3">
                  <c:v>24.0</c:v>
                </c:pt>
                <c:pt idx="4">
                  <c:v>41.0</c:v>
                </c:pt>
                <c:pt idx="5">
                  <c:v>31.0</c:v>
                </c:pt>
                <c:pt idx="6">
                  <c:v>30.0</c:v>
                </c:pt>
                <c:pt idx="7">
                  <c:v>27.0</c:v>
                </c:pt>
                <c:pt idx="8">
                  <c:v>26.0</c:v>
                </c:pt>
                <c:pt idx="9">
                  <c:v>34.0</c:v>
                </c:pt>
                <c:pt idx="10">
                  <c:v>38.0</c:v>
                </c:pt>
                <c:pt idx="11">
                  <c:v>36.0</c:v>
                </c:pt>
                <c:pt idx="12">
                  <c:v>28.0</c:v>
                </c:pt>
                <c:pt idx="13">
                  <c:v>34.0</c:v>
                </c:pt>
                <c:pt idx="14">
                  <c:v>38.0</c:v>
                </c:pt>
                <c:pt idx="15">
                  <c:v>39.0</c:v>
                </c:pt>
                <c:pt idx="16">
                  <c:v>39.0</c:v>
                </c:pt>
                <c:pt idx="17">
                  <c:v>27.0</c:v>
                </c:pt>
                <c:pt idx="18">
                  <c:v>39.0</c:v>
                </c:pt>
                <c:pt idx="19">
                  <c:v>31.0</c:v>
                </c:pt>
                <c:pt idx="20">
                  <c:v>36.0</c:v>
                </c:pt>
                <c:pt idx="21">
                  <c:v>51.0</c:v>
                </c:pt>
                <c:pt idx="22">
                  <c:v>38.0</c:v>
                </c:pt>
                <c:pt idx="23">
                  <c:v>19.0</c:v>
                </c:pt>
                <c:pt idx="24">
                  <c:v>38.0</c:v>
                </c:pt>
                <c:pt idx="25">
                  <c:v>24.0</c:v>
                </c:pt>
                <c:pt idx="26">
                  <c:v>41.0</c:v>
                </c:pt>
              </c:numCache>
            </c:numRef>
          </c:val>
        </c:ser>
        <c:ser>
          <c:idx val="1"/>
          <c:order val="2"/>
          <c:tx>
            <c:strRef>
              <c:f>'Trains info retard'!$D$5</c:f>
              <c:strCache>
                <c:ptCount val="1"/>
                <c:pt idx="0">
                  <c:v>Insatisfait</c:v>
                </c:pt>
              </c:strCache>
            </c:strRef>
          </c:tx>
          <c:invertIfNegative val="0"/>
          <c:dLbls>
            <c:showLegendKey val="0"/>
            <c:showVal val="1"/>
            <c:showCatName val="0"/>
            <c:showSerName val="0"/>
            <c:showPercent val="0"/>
            <c:showBubbleSize val="0"/>
            <c:showLeaderLines val="0"/>
          </c:dLbls>
          <c:cat>
            <c:strRef>
              <c:f>'Trains info retard'!$A$6:$A$32</c:f>
              <c:strCache>
                <c:ptCount val="27"/>
                <c:pt idx="0">
                  <c:v>Pologne</c:v>
                </c:pt>
                <c:pt idx="1">
                  <c:v>Estonie</c:v>
                </c:pt>
                <c:pt idx="2">
                  <c:v>F R A N C E</c:v>
                </c:pt>
                <c:pt idx="3">
                  <c:v>Bulgarie</c:v>
                </c:pt>
                <c:pt idx="4">
                  <c:v>Belgique</c:v>
                </c:pt>
                <c:pt idx="5">
                  <c:v>Allemagne</c:v>
                </c:pt>
                <c:pt idx="6">
                  <c:v>Italie</c:v>
                </c:pt>
                <c:pt idx="7">
                  <c:v>Grèce</c:v>
                </c:pt>
                <c:pt idx="8">
                  <c:v>Roumanie</c:v>
                </c:pt>
                <c:pt idx="9">
                  <c:v>Suède</c:v>
                </c:pt>
                <c:pt idx="10">
                  <c:v>Lettonie</c:v>
                </c:pt>
                <c:pt idx="11">
                  <c:v>Hongrie</c:v>
                </c:pt>
                <c:pt idx="12">
                  <c:v>Croatie</c:v>
                </c:pt>
                <c:pt idx="13">
                  <c:v>U E 26</c:v>
                </c:pt>
                <c:pt idx="14">
                  <c:v>Danemark</c:v>
                </c:pt>
                <c:pt idx="15">
                  <c:v>Luxembourg</c:v>
                </c:pt>
                <c:pt idx="16">
                  <c:v>Pays-Bas</c:v>
                </c:pt>
                <c:pt idx="17">
                  <c:v>Slovénie</c:v>
                </c:pt>
                <c:pt idx="18">
                  <c:v>Espagne</c:v>
                </c:pt>
                <c:pt idx="19">
                  <c:v>Slovaquie</c:v>
                </c:pt>
                <c:pt idx="20">
                  <c:v>Rép. Tchèque</c:v>
                </c:pt>
                <c:pt idx="21">
                  <c:v>Finlande</c:v>
                </c:pt>
                <c:pt idx="22">
                  <c:v>Autriche</c:v>
                </c:pt>
                <c:pt idx="23">
                  <c:v>Lituanie</c:v>
                </c:pt>
                <c:pt idx="24">
                  <c:v>Irlande</c:v>
                </c:pt>
                <c:pt idx="25">
                  <c:v>Portugal</c:v>
                </c:pt>
                <c:pt idx="26">
                  <c:v>Royaume-Uni</c:v>
                </c:pt>
              </c:strCache>
            </c:strRef>
          </c:cat>
          <c:val>
            <c:numRef>
              <c:f>'Trains info retard'!$D$6:$D$32</c:f>
              <c:numCache>
                <c:formatCode>General</c:formatCode>
                <c:ptCount val="27"/>
                <c:pt idx="0">
                  <c:v>28.0</c:v>
                </c:pt>
                <c:pt idx="1">
                  <c:v>4.0</c:v>
                </c:pt>
                <c:pt idx="2">
                  <c:v>34.0</c:v>
                </c:pt>
                <c:pt idx="3">
                  <c:v>18.0</c:v>
                </c:pt>
                <c:pt idx="4">
                  <c:v>26.0</c:v>
                </c:pt>
                <c:pt idx="5">
                  <c:v>32.0</c:v>
                </c:pt>
                <c:pt idx="6">
                  <c:v>23.0</c:v>
                </c:pt>
                <c:pt idx="7">
                  <c:v>19.0</c:v>
                </c:pt>
                <c:pt idx="8">
                  <c:v>24.0</c:v>
                </c:pt>
                <c:pt idx="9">
                  <c:v>24.0</c:v>
                </c:pt>
                <c:pt idx="10">
                  <c:v>13.0</c:v>
                </c:pt>
                <c:pt idx="11">
                  <c:v>16.0</c:v>
                </c:pt>
                <c:pt idx="12">
                  <c:v>15.0</c:v>
                </c:pt>
                <c:pt idx="13">
                  <c:v>22.0</c:v>
                </c:pt>
                <c:pt idx="14">
                  <c:v>18.0</c:v>
                </c:pt>
                <c:pt idx="15">
                  <c:v>18.0</c:v>
                </c:pt>
                <c:pt idx="16">
                  <c:v>19.0</c:v>
                </c:pt>
                <c:pt idx="17">
                  <c:v>10.0</c:v>
                </c:pt>
                <c:pt idx="18">
                  <c:v>13.0</c:v>
                </c:pt>
                <c:pt idx="19">
                  <c:v>13.0</c:v>
                </c:pt>
                <c:pt idx="20">
                  <c:v>16.0</c:v>
                </c:pt>
                <c:pt idx="21">
                  <c:v>14.0</c:v>
                </c:pt>
                <c:pt idx="22">
                  <c:v>16.0</c:v>
                </c:pt>
                <c:pt idx="23">
                  <c:v>5.0</c:v>
                </c:pt>
                <c:pt idx="24">
                  <c:v>16.0</c:v>
                </c:pt>
                <c:pt idx="25">
                  <c:v>11.0</c:v>
                </c:pt>
                <c:pt idx="26">
                  <c:v>11.0</c:v>
                </c:pt>
              </c:numCache>
            </c:numRef>
          </c:val>
        </c:ser>
        <c:ser>
          <c:idx val="2"/>
          <c:order val="3"/>
          <c:tx>
            <c:strRef>
              <c:f>'Trains info retard'!$E$5</c:f>
              <c:strCache>
                <c:ptCount val="1"/>
                <c:pt idx="0">
                  <c:v>Très mécontent</c:v>
                </c:pt>
              </c:strCache>
            </c:strRef>
          </c:tx>
          <c:invertIfNegative val="0"/>
          <c:dLbls>
            <c:showLegendKey val="0"/>
            <c:showVal val="1"/>
            <c:showCatName val="0"/>
            <c:showSerName val="0"/>
            <c:showPercent val="0"/>
            <c:showBubbleSize val="0"/>
            <c:showLeaderLines val="0"/>
          </c:dLbls>
          <c:cat>
            <c:strRef>
              <c:f>'Trains info retard'!$A$6:$A$32</c:f>
              <c:strCache>
                <c:ptCount val="27"/>
                <c:pt idx="0">
                  <c:v>Pologne</c:v>
                </c:pt>
                <c:pt idx="1">
                  <c:v>Estonie</c:v>
                </c:pt>
                <c:pt idx="2">
                  <c:v>F R A N C E</c:v>
                </c:pt>
                <c:pt idx="3">
                  <c:v>Bulgarie</c:v>
                </c:pt>
                <c:pt idx="4">
                  <c:v>Belgique</c:v>
                </c:pt>
                <c:pt idx="5">
                  <c:v>Allemagne</c:v>
                </c:pt>
                <c:pt idx="6">
                  <c:v>Italie</c:v>
                </c:pt>
                <c:pt idx="7">
                  <c:v>Grèce</c:v>
                </c:pt>
                <c:pt idx="8">
                  <c:v>Roumanie</c:v>
                </c:pt>
                <c:pt idx="9">
                  <c:v>Suède</c:v>
                </c:pt>
                <c:pt idx="10">
                  <c:v>Lettonie</c:v>
                </c:pt>
                <c:pt idx="11">
                  <c:v>Hongrie</c:v>
                </c:pt>
                <c:pt idx="12">
                  <c:v>Croatie</c:v>
                </c:pt>
                <c:pt idx="13">
                  <c:v>U E 26</c:v>
                </c:pt>
                <c:pt idx="14">
                  <c:v>Danemark</c:v>
                </c:pt>
                <c:pt idx="15">
                  <c:v>Luxembourg</c:v>
                </c:pt>
                <c:pt idx="16">
                  <c:v>Pays-Bas</c:v>
                </c:pt>
                <c:pt idx="17">
                  <c:v>Slovénie</c:v>
                </c:pt>
                <c:pt idx="18">
                  <c:v>Espagne</c:v>
                </c:pt>
                <c:pt idx="19">
                  <c:v>Slovaquie</c:v>
                </c:pt>
                <c:pt idx="20">
                  <c:v>Rép. Tchèque</c:v>
                </c:pt>
                <c:pt idx="21">
                  <c:v>Finlande</c:v>
                </c:pt>
                <c:pt idx="22">
                  <c:v>Autriche</c:v>
                </c:pt>
                <c:pt idx="23">
                  <c:v>Lituanie</c:v>
                </c:pt>
                <c:pt idx="24">
                  <c:v>Irlande</c:v>
                </c:pt>
                <c:pt idx="25">
                  <c:v>Portugal</c:v>
                </c:pt>
                <c:pt idx="26">
                  <c:v>Royaume-Uni</c:v>
                </c:pt>
              </c:strCache>
            </c:strRef>
          </c:cat>
          <c:val>
            <c:numRef>
              <c:f>'Trains info retard'!$E$6:$E$32</c:f>
              <c:numCache>
                <c:formatCode>General</c:formatCode>
                <c:ptCount val="27"/>
                <c:pt idx="0">
                  <c:v>10.0</c:v>
                </c:pt>
                <c:pt idx="1">
                  <c:v>3.0</c:v>
                </c:pt>
                <c:pt idx="2">
                  <c:v>13.0</c:v>
                </c:pt>
                <c:pt idx="3">
                  <c:v>13.0</c:v>
                </c:pt>
                <c:pt idx="4">
                  <c:v>7.0</c:v>
                </c:pt>
                <c:pt idx="5">
                  <c:v>10.0</c:v>
                </c:pt>
                <c:pt idx="6">
                  <c:v>15.0</c:v>
                </c:pt>
                <c:pt idx="7">
                  <c:v>6.0</c:v>
                </c:pt>
                <c:pt idx="8">
                  <c:v>14.0</c:v>
                </c:pt>
                <c:pt idx="9">
                  <c:v>7.0</c:v>
                </c:pt>
                <c:pt idx="10">
                  <c:v>3.0</c:v>
                </c:pt>
                <c:pt idx="11">
                  <c:v>8.0</c:v>
                </c:pt>
                <c:pt idx="12">
                  <c:v>8.0</c:v>
                </c:pt>
                <c:pt idx="13">
                  <c:v>9.0</c:v>
                </c:pt>
                <c:pt idx="14">
                  <c:v>5.0</c:v>
                </c:pt>
                <c:pt idx="15">
                  <c:v>6.0</c:v>
                </c:pt>
                <c:pt idx="16">
                  <c:v>7.0</c:v>
                </c:pt>
                <c:pt idx="17">
                  <c:v>5.0</c:v>
                </c:pt>
                <c:pt idx="18">
                  <c:v>6.0</c:v>
                </c:pt>
                <c:pt idx="19">
                  <c:v>4.0</c:v>
                </c:pt>
                <c:pt idx="20">
                  <c:v>4.0</c:v>
                </c:pt>
                <c:pt idx="21">
                  <c:v>2.0</c:v>
                </c:pt>
                <c:pt idx="22">
                  <c:v>4.0</c:v>
                </c:pt>
                <c:pt idx="23">
                  <c:v>2.0</c:v>
                </c:pt>
                <c:pt idx="24">
                  <c:v>6.0</c:v>
                </c:pt>
                <c:pt idx="25">
                  <c:v>10.0</c:v>
                </c:pt>
                <c:pt idx="26">
                  <c:v>3.0</c:v>
                </c:pt>
              </c:numCache>
            </c:numRef>
          </c:val>
        </c:ser>
        <c:dLbls>
          <c:showLegendKey val="0"/>
          <c:showVal val="0"/>
          <c:showCatName val="0"/>
          <c:showSerName val="0"/>
          <c:showPercent val="0"/>
          <c:showBubbleSize val="0"/>
        </c:dLbls>
        <c:gapWidth val="150"/>
        <c:overlap val="100"/>
        <c:axId val="-2054182120"/>
        <c:axId val="-2054178952"/>
      </c:barChart>
      <c:catAx>
        <c:axId val="-2054182120"/>
        <c:scaling>
          <c:orientation val="minMax"/>
        </c:scaling>
        <c:delete val="0"/>
        <c:axPos val="b"/>
        <c:majorTickMark val="out"/>
        <c:minorTickMark val="none"/>
        <c:tickLblPos val="nextTo"/>
        <c:txPr>
          <a:bodyPr rot="-5400000" vert="horz"/>
          <a:lstStyle/>
          <a:p>
            <a:pPr>
              <a:defRPr/>
            </a:pPr>
            <a:endParaRPr lang="fr-FR"/>
          </a:p>
        </c:txPr>
        <c:crossAx val="-2054178952"/>
        <c:crosses val="autoZero"/>
        <c:auto val="1"/>
        <c:lblAlgn val="ctr"/>
        <c:lblOffset val="100"/>
        <c:noMultiLvlLbl val="0"/>
      </c:catAx>
      <c:valAx>
        <c:axId val="-2054178952"/>
        <c:scaling>
          <c:orientation val="minMax"/>
          <c:max val="100.0"/>
        </c:scaling>
        <c:delete val="0"/>
        <c:axPos val="l"/>
        <c:majorGridlines/>
        <c:numFmt formatCode="General" sourceLinked="1"/>
        <c:majorTickMark val="out"/>
        <c:minorTickMark val="none"/>
        <c:tickLblPos val="nextTo"/>
        <c:crossAx val="-2054182120"/>
        <c:crosses val="autoZero"/>
        <c:crossBetween val="between"/>
      </c:valAx>
    </c:plotArea>
    <c:legend>
      <c:legendPos val="b"/>
      <c:layout/>
      <c:overlay val="0"/>
    </c:legend>
    <c:plotVisOnly val="1"/>
    <c:dispBlanksAs val="gap"/>
    <c:showDLblsOverMax val="0"/>
  </c:chart>
  <c:spPr>
    <a:ln>
      <a:noFill/>
    </a:ln>
  </c:spPr>
  <c:txPr>
    <a:bodyPr/>
    <a:lstStyle/>
    <a:p>
      <a:pPr>
        <a:defRPr sz="1000"/>
      </a:pPr>
      <a:endParaRPr lang="fr-F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stacked"/>
        <c:varyColors val="0"/>
        <c:ser>
          <c:idx val="5"/>
          <c:order val="0"/>
          <c:tx>
            <c:strRef>
              <c:f>'Trains personnel'!$B$5</c:f>
              <c:strCache>
                <c:ptCount val="1"/>
                <c:pt idx="0">
                  <c:v>Très satisfait</c:v>
                </c:pt>
              </c:strCache>
            </c:strRef>
          </c:tx>
          <c:invertIfNegative val="0"/>
          <c:dLbls>
            <c:showLegendKey val="0"/>
            <c:showVal val="1"/>
            <c:showCatName val="0"/>
            <c:showSerName val="0"/>
            <c:showPercent val="0"/>
            <c:showBubbleSize val="0"/>
            <c:showLeaderLines val="0"/>
          </c:dLbls>
          <c:cat>
            <c:strRef>
              <c:f>'Trains personnel'!$A$6:$A$32</c:f>
              <c:strCache>
                <c:ptCount val="27"/>
                <c:pt idx="0">
                  <c:v>Allemagne</c:v>
                </c:pt>
                <c:pt idx="1">
                  <c:v>Grèce</c:v>
                </c:pt>
                <c:pt idx="2">
                  <c:v>Pologne</c:v>
                </c:pt>
                <c:pt idx="3">
                  <c:v>Estonie</c:v>
                </c:pt>
                <c:pt idx="4">
                  <c:v>Pays-Bas</c:v>
                </c:pt>
                <c:pt idx="5">
                  <c:v>Bulgarie</c:v>
                </c:pt>
                <c:pt idx="6">
                  <c:v>F R A N C E</c:v>
                </c:pt>
                <c:pt idx="7">
                  <c:v>Danemark</c:v>
                </c:pt>
                <c:pt idx="8">
                  <c:v>Hongrie</c:v>
                </c:pt>
                <c:pt idx="9">
                  <c:v>Roumanie</c:v>
                </c:pt>
                <c:pt idx="10">
                  <c:v>U E 26</c:v>
                </c:pt>
                <c:pt idx="11">
                  <c:v>Italie</c:v>
                </c:pt>
                <c:pt idx="12">
                  <c:v>Suède</c:v>
                </c:pt>
                <c:pt idx="13">
                  <c:v>Croatie</c:v>
                </c:pt>
                <c:pt idx="14">
                  <c:v>Lettonie</c:v>
                </c:pt>
                <c:pt idx="15">
                  <c:v>Finlande</c:v>
                </c:pt>
                <c:pt idx="16">
                  <c:v>Espagne</c:v>
                </c:pt>
                <c:pt idx="17">
                  <c:v>Belgique</c:v>
                </c:pt>
                <c:pt idx="18">
                  <c:v>Irlande</c:v>
                </c:pt>
                <c:pt idx="19">
                  <c:v>Autriche</c:v>
                </c:pt>
                <c:pt idx="20">
                  <c:v>Rép. Tchèque</c:v>
                </c:pt>
                <c:pt idx="21">
                  <c:v>Slovénie</c:v>
                </c:pt>
                <c:pt idx="22">
                  <c:v>Royaume-Uni</c:v>
                </c:pt>
                <c:pt idx="23">
                  <c:v>Luxembourg</c:v>
                </c:pt>
                <c:pt idx="24">
                  <c:v>Slovaquie</c:v>
                </c:pt>
                <c:pt idx="25">
                  <c:v>Lituanie</c:v>
                </c:pt>
                <c:pt idx="26">
                  <c:v>Portugal</c:v>
                </c:pt>
              </c:strCache>
            </c:strRef>
          </c:cat>
          <c:val>
            <c:numRef>
              <c:f>'Trains personnel'!$B$6:$B$32</c:f>
              <c:numCache>
                <c:formatCode>General</c:formatCode>
                <c:ptCount val="27"/>
                <c:pt idx="0">
                  <c:v>9.0</c:v>
                </c:pt>
                <c:pt idx="1">
                  <c:v>9.0</c:v>
                </c:pt>
                <c:pt idx="2">
                  <c:v>9.0</c:v>
                </c:pt>
                <c:pt idx="3">
                  <c:v>10.0</c:v>
                </c:pt>
                <c:pt idx="4">
                  <c:v>10.0</c:v>
                </c:pt>
                <c:pt idx="5">
                  <c:v>11.0</c:v>
                </c:pt>
                <c:pt idx="6">
                  <c:v>12.0</c:v>
                </c:pt>
                <c:pt idx="7">
                  <c:v>13.0</c:v>
                </c:pt>
                <c:pt idx="8">
                  <c:v>13.0</c:v>
                </c:pt>
                <c:pt idx="9">
                  <c:v>13.0</c:v>
                </c:pt>
                <c:pt idx="10">
                  <c:v>14.0</c:v>
                </c:pt>
                <c:pt idx="11">
                  <c:v>14.0</c:v>
                </c:pt>
                <c:pt idx="12">
                  <c:v>14.0</c:v>
                </c:pt>
                <c:pt idx="13">
                  <c:v>15.0</c:v>
                </c:pt>
                <c:pt idx="14">
                  <c:v>16.0</c:v>
                </c:pt>
                <c:pt idx="15">
                  <c:v>16.0</c:v>
                </c:pt>
                <c:pt idx="16">
                  <c:v>17.0</c:v>
                </c:pt>
                <c:pt idx="17">
                  <c:v>18.0</c:v>
                </c:pt>
                <c:pt idx="18">
                  <c:v>18.0</c:v>
                </c:pt>
                <c:pt idx="19">
                  <c:v>18.0</c:v>
                </c:pt>
                <c:pt idx="20">
                  <c:v>19.0</c:v>
                </c:pt>
                <c:pt idx="21">
                  <c:v>19.0</c:v>
                </c:pt>
                <c:pt idx="22">
                  <c:v>19.0</c:v>
                </c:pt>
                <c:pt idx="23">
                  <c:v>23.0</c:v>
                </c:pt>
                <c:pt idx="24">
                  <c:v>23.0</c:v>
                </c:pt>
                <c:pt idx="25">
                  <c:v>24.0</c:v>
                </c:pt>
                <c:pt idx="26">
                  <c:v>27.0</c:v>
                </c:pt>
              </c:numCache>
            </c:numRef>
          </c:val>
        </c:ser>
        <c:ser>
          <c:idx val="0"/>
          <c:order val="1"/>
          <c:tx>
            <c:strRef>
              <c:f>'Trains personnel'!$C$5</c:f>
              <c:strCache>
                <c:ptCount val="1"/>
                <c:pt idx="0">
                  <c:v>Satisfait</c:v>
                </c:pt>
              </c:strCache>
            </c:strRef>
          </c:tx>
          <c:invertIfNegative val="0"/>
          <c:dLbls>
            <c:showLegendKey val="0"/>
            <c:showVal val="1"/>
            <c:showCatName val="0"/>
            <c:showSerName val="0"/>
            <c:showPercent val="0"/>
            <c:showBubbleSize val="0"/>
            <c:showLeaderLines val="0"/>
          </c:dLbls>
          <c:cat>
            <c:strRef>
              <c:f>'Trains personnel'!$A$6:$A$32</c:f>
              <c:strCache>
                <c:ptCount val="27"/>
                <c:pt idx="0">
                  <c:v>Allemagne</c:v>
                </c:pt>
                <c:pt idx="1">
                  <c:v>Grèce</c:v>
                </c:pt>
                <c:pt idx="2">
                  <c:v>Pologne</c:v>
                </c:pt>
                <c:pt idx="3">
                  <c:v>Estonie</c:v>
                </c:pt>
                <c:pt idx="4">
                  <c:v>Pays-Bas</c:v>
                </c:pt>
                <c:pt idx="5">
                  <c:v>Bulgarie</c:v>
                </c:pt>
                <c:pt idx="6">
                  <c:v>F R A N C E</c:v>
                </c:pt>
                <c:pt idx="7">
                  <c:v>Danemark</c:v>
                </c:pt>
                <c:pt idx="8">
                  <c:v>Hongrie</c:v>
                </c:pt>
                <c:pt idx="9">
                  <c:v>Roumanie</c:v>
                </c:pt>
                <c:pt idx="10">
                  <c:v>U E 26</c:v>
                </c:pt>
                <c:pt idx="11">
                  <c:v>Italie</c:v>
                </c:pt>
                <c:pt idx="12">
                  <c:v>Suède</c:v>
                </c:pt>
                <c:pt idx="13">
                  <c:v>Croatie</c:v>
                </c:pt>
                <c:pt idx="14">
                  <c:v>Lettonie</c:v>
                </c:pt>
                <c:pt idx="15">
                  <c:v>Finlande</c:v>
                </c:pt>
                <c:pt idx="16">
                  <c:v>Espagne</c:v>
                </c:pt>
                <c:pt idx="17">
                  <c:v>Belgique</c:v>
                </c:pt>
                <c:pt idx="18">
                  <c:v>Irlande</c:v>
                </c:pt>
                <c:pt idx="19">
                  <c:v>Autriche</c:v>
                </c:pt>
                <c:pt idx="20">
                  <c:v>Rép. Tchèque</c:v>
                </c:pt>
                <c:pt idx="21">
                  <c:v>Slovénie</c:v>
                </c:pt>
                <c:pt idx="22">
                  <c:v>Royaume-Uni</c:v>
                </c:pt>
                <c:pt idx="23">
                  <c:v>Luxembourg</c:v>
                </c:pt>
                <c:pt idx="24">
                  <c:v>Slovaquie</c:v>
                </c:pt>
                <c:pt idx="25">
                  <c:v>Lituanie</c:v>
                </c:pt>
                <c:pt idx="26">
                  <c:v>Portugal</c:v>
                </c:pt>
              </c:strCache>
            </c:strRef>
          </c:cat>
          <c:val>
            <c:numRef>
              <c:f>'Trains personnel'!$C$6:$C$32</c:f>
              <c:numCache>
                <c:formatCode>General</c:formatCode>
                <c:ptCount val="27"/>
                <c:pt idx="0">
                  <c:v>44.0</c:v>
                </c:pt>
                <c:pt idx="1">
                  <c:v>29.0</c:v>
                </c:pt>
                <c:pt idx="2">
                  <c:v>43.0</c:v>
                </c:pt>
                <c:pt idx="3">
                  <c:v>17.0</c:v>
                </c:pt>
                <c:pt idx="4">
                  <c:v>47.0</c:v>
                </c:pt>
                <c:pt idx="5">
                  <c:v>33.0</c:v>
                </c:pt>
                <c:pt idx="6">
                  <c:v>52.0</c:v>
                </c:pt>
                <c:pt idx="7">
                  <c:v>37.0</c:v>
                </c:pt>
                <c:pt idx="8">
                  <c:v>41.0</c:v>
                </c:pt>
                <c:pt idx="9">
                  <c:v>38.0</c:v>
                </c:pt>
                <c:pt idx="10">
                  <c:v>44.0</c:v>
                </c:pt>
                <c:pt idx="11">
                  <c:v>44.0</c:v>
                </c:pt>
                <c:pt idx="12">
                  <c:v>49.0</c:v>
                </c:pt>
                <c:pt idx="13">
                  <c:v>35.0</c:v>
                </c:pt>
                <c:pt idx="14">
                  <c:v>46.0</c:v>
                </c:pt>
                <c:pt idx="15">
                  <c:v>55.0</c:v>
                </c:pt>
                <c:pt idx="16">
                  <c:v>41.0</c:v>
                </c:pt>
                <c:pt idx="17">
                  <c:v>58.0</c:v>
                </c:pt>
                <c:pt idx="18">
                  <c:v>38.0</c:v>
                </c:pt>
                <c:pt idx="19">
                  <c:v>42.0</c:v>
                </c:pt>
                <c:pt idx="20">
                  <c:v>46.0</c:v>
                </c:pt>
                <c:pt idx="21">
                  <c:v>32.0</c:v>
                </c:pt>
                <c:pt idx="22">
                  <c:v>45.0</c:v>
                </c:pt>
                <c:pt idx="23">
                  <c:v>47.0</c:v>
                </c:pt>
                <c:pt idx="24">
                  <c:v>34.0</c:v>
                </c:pt>
                <c:pt idx="25">
                  <c:v>24.0</c:v>
                </c:pt>
                <c:pt idx="26">
                  <c:v>30.0</c:v>
                </c:pt>
              </c:numCache>
            </c:numRef>
          </c:val>
        </c:ser>
        <c:ser>
          <c:idx val="1"/>
          <c:order val="2"/>
          <c:tx>
            <c:strRef>
              <c:f>'Trains personnel'!$D$5</c:f>
              <c:strCache>
                <c:ptCount val="1"/>
                <c:pt idx="0">
                  <c:v>Insatisfait</c:v>
                </c:pt>
              </c:strCache>
            </c:strRef>
          </c:tx>
          <c:invertIfNegative val="0"/>
          <c:dLbls>
            <c:showLegendKey val="0"/>
            <c:showVal val="1"/>
            <c:showCatName val="0"/>
            <c:showSerName val="0"/>
            <c:showPercent val="0"/>
            <c:showBubbleSize val="0"/>
            <c:showLeaderLines val="0"/>
          </c:dLbls>
          <c:cat>
            <c:strRef>
              <c:f>'Trains personnel'!$A$6:$A$32</c:f>
              <c:strCache>
                <c:ptCount val="27"/>
                <c:pt idx="0">
                  <c:v>Allemagne</c:v>
                </c:pt>
                <c:pt idx="1">
                  <c:v>Grèce</c:v>
                </c:pt>
                <c:pt idx="2">
                  <c:v>Pologne</c:v>
                </c:pt>
                <c:pt idx="3">
                  <c:v>Estonie</c:v>
                </c:pt>
                <c:pt idx="4">
                  <c:v>Pays-Bas</c:v>
                </c:pt>
                <c:pt idx="5">
                  <c:v>Bulgarie</c:v>
                </c:pt>
                <c:pt idx="6">
                  <c:v>F R A N C E</c:v>
                </c:pt>
                <c:pt idx="7">
                  <c:v>Danemark</c:v>
                </c:pt>
                <c:pt idx="8">
                  <c:v>Hongrie</c:v>
                </c:pt>
                <c:pt idx="9">
                  <c:v>Roumanie</c:v>
                </c:pt>
                <c:pt idx="10">
                  <c:v>U E 26</c:v>
                </c:pt>
                <c:pt idx="11">
                  <c:v>Italie</c:v>
                </c:pt>
                <c:pt idx="12">
                  <c:v>Suède</c:v>
                </c:pt>
                <c:pt idx="13">
                  <c:v>Croatie</c:v>
                </c:pt>
                <c:pt idx="14">
                  <c:v>Lettonie</c:v>
                </c:pt>
                <c:pt idx="15">
                  <c:v>Finlande</c:v>
                </c:pt>
                <c:pt idx="16">
                  <c:v>Espagne</c:v>
                </c:pt>
                <c:pt idx="17">
                  <c:v>Belgique</c:v>
                </c:pt>
                <c:pt idx="18">
                  <c:v>Irlande</c:v>
                </c:pt>
                <c:pt idx="19">
                  <c:v>Autriche</c:v>
                </c:pt>
                <c:pt idx="20">
                  <c:v>Rép. Tchèque</c:v>
                </c:pt>
                <c:pt idx="21">
                  <c:v>Slovénie</c:v>
                </c:pt>
                <c:pt idx="22">
                  <c:v>Royaume-Uni</c:v>
                </c:pt>
                <c:pt idx="23">
                  <c:v>Luxembourg</c:v>
                </c:pt>
                <c:pt idx="24">
                  <c:v>Slovaquie</c:v>
                </c:pt>
                <c:pt idx="25">
                  <c:v>Lituanie</c:v>
                </c:pt>
                <c:pt idx="26">
                  <c:v>Portugal</c:v>
                </c:pt>
              </c:strCache>
            </c:strRef>
          </c:cat>
          <c:val>
            <c:numRef>
              <c:f>'Trains personnel'!$D$6:$D$32</c:f>
              <c:numCache>
                <c:formatCode>General</c:formatCode>
                <c:ptCount val="27"/>
                <c:pt idx="0">
                  <c:v>26.0</c:v>
                </c:pt>
                <c:pt idx="1">
                  <c:v>17.0</c:v>
                </c:pt>
                <c:pt idx="2">
                  <c:v>16.0</c:v>
                </c:pt>
                <c:pt idx="3">
                  <c:v>1.0</c:v>
                </c:pt>
                <c:pt idx="4">
                  <c:v>19.0</c:v>
                </c:pt>
                <c:pt idx="5">
                  <c:v>14.0</c:v>
                </c:pt>
                <c:pt idx="6">
                  <c:v>22.0</c:v>
                </c:pt>
                <c:pt idx="7">
                  <c:v>20.0</c:v>
                </c:pt>
                <c:pt idx="8">
                  <c:v>12.0</c:v>
                </c:pt>
                <c:pt idx="9">
                  <c:v>15.0</c:v>
                </c:pt>
                <c:pt idx="10">
                  <c:v>17.0</c:v>
                </c:pt>
                <c:pt idx="11">
                  <c:v>14.0</c:v>
                </c:pt>
                <c:pt idx="12">
                  <c:v>14.0</c:v>
                </c:pt>
                <c:pt idx="13">
                  <c:v>9.0</c:v>
                </c:pt>
                <c:pt idx="14">
                  <c:v>7.0</c:v>
                </c:pt>
                <c:pt idx="15">
                  <c:v>12.0</c:v>
                </c:pt>
                <c:pt idx="16">
                  <c:v>14.0</c:v>
                </c:pt>
                <c:pt idx="17">
                  <c:v>9.0</c:v>
                </c:pt>
                <c:pt idx="18">
                  <c:v>20.0</c:v>
                </c:pt>
                <c:pt idx="19">
                  <c:v>17.0</c:v>
                </c:pt>
                <c:pt idx="20">
                  <c:v>9.0</c:v>
                </c:pt>
                <c:pt idx="21">
                  <c:v>6.0</c:v>
                </c:pt>
                <c:pt idx="22">
                  <c:v>16.0</c:v>
                </c:pt>
                <c:pt idx="23">
                  <c:v>10.0</c:v>
                </c:pt>
                <c:pt idx="24">
                  <c:v>9.0</c:v>
                </c:pt>
                <c:pt idx="25">
                  <c:v>1.0</c:v>
                </c:pt>
                <c:pt idx="26">
                  <c:v>10.0</c:v>
                </c:pt>
              </c:numCache>
            </c:numRef>
          </c:val>
        </c:ser>
        <c:ser>
          <c:idx val="2"/>
          <c:order val="3"/>
          <c:tx>
            <c:strRef>
              <c:f>'Trains personnel'!$E$5</c:f>
              <c:strCache>
                <c:ptCount val="1"/>
                <c:pt idx="0">
                  <c:v>Très mécontent</c:v>
                </c:pt>
              </c:strCache>
            </c:strRef>
          </c:tx>
          <c:invertIfNegative val="0"/>
          <c:dLbls>
            <c:showLegendKey val="0"/>
            <c:showVal val="1"/>
            <c:showCatName val="0"/>
            <c:showSerName val="0"/>
            <c:showPercent val="0"/>
            <c:showBubbleSize val="0"/>
            <c:showLeaderLines val="0"/>
          </c:dLbls>
          <c:cat>
            <c:strRef>
              <c:f>'Trains personnel'!$A$6:$A$32</c:f>
              <c:strCache>
                <c:ptCount val="27"/>
                <c:pt idx="0">
                  <c:v>Allemagne</c:v>
                </c:pt>
                <c:pt idx="1">
                  <c:v>Grèce</c:v>
                </c:pt>
                <c:pt idx="2">
                  <c:v>Pologne</c:v>
                </c:pt>
                <c:pt idx="3">
                  <c:v>Estonie</c:v>
                </c:pt>
                <c:pt idx="4">
                  <c:v>Pays-Bas</c:v>
                </c:pt>
                <c:pt idx="5">
                  <c:v>Bulgarie</c:v>
                </c:pt>
                <c:pt idx="6">
                  <c:v>F R A N C E</c:v>
                </c:pt>
                <c:pt idx="7">
                  <c:v>Danemark</c:v>
                </c:pt>
                <c:pt idx="8">
                  <c:v>Hongrie</c:v>
                </c:pt>
                <c:pt idx="9">
                  <c:v>Roumanie</c:v>
                </c:pt>
                <c:pt idx="10">
                  <c:v>U E 26</c:v>
                </c:pt>
                <c:pt idx="11">
                  <c:v>Italie</c:v>
                </c:pt>
                <c:pt idx="12">
                  <c:v>Suède</c:v>
                </c:pt>
                <c:pt idx="13">
                  <c:v>Croatie</c:v>
                </c:pt>
                <c:pt idx="14">
                  <c:v>Lettonie</c:v>
                </c:pt>
                <c:pt idx="15">
                  <c:v>Finlande</c:v>
                </c:pt>
                <c:pt idx="16">
                  <c:v>Espagne</c:v>
                </c:pt>
                <c:pt idx="17">
                  <c:v>Belgique</c:v>
                </c:pt>
                <c:pt idx="18">
                  <c:v>Irlande</c:v>
                </c:pt>
                <c:pt idx="19">
                  <c:v>Autriche</c:v>
                </c:pt>
                <c:pt idx="20">
                  <c:v>Rép. Tchèque</c:v>
                </c:pt>
                <c:pt idx="21">
                  <c:v>Slovénie</c:v>
                </c:pt>
                <c:pt idx="22">
                  <c:v>Royaume-Uni</c:v>
                </c:pt>
                <c:pt idx="23">
                  <c:v>Luxembourg</c:v>
                </c:pt>
                <c:pt idx="24">
                  <c:v>Slovaquie</c:v>
                </c:pt>
                <c:pt idx="25">
                  <c:v>Lituanie</c:v>
                </c:pt>
                <c:pt idx="26">
                  <c:v>Portugal</c:v>
                </c:pt>
              </c:strCache>
            </c:strRef>
          </c:cat>
          <c:val>
            <c:numRef>
              <c:f>'Trains personnel'!$E$6:$E$32</c:f>
              <c:numCache>
                <c:formatCode>General</c:formatCode>
                <c:ptCount val="27"/>
                <c:pt idx="0">
                  <c:v>6.0</c:v>
                </c:pt>
                <c:pt idx="1">
                  <c:v>5.0</c:v>
                </c:pt>
                <c:pt idx="2">
                  <c:v>2.0</c:v>
                </c:pt>
                <c:pt idx="3">
                  <c:v>1.0</c:v>
                </c:pt>
                <c:pt idx="4">
                  <c:v>6.0</c:v>
                </c:pt>
                <c:pt idx="5">
                  <c:v>5.0</c:v>
                </c:pt>
                <c:pt idx="6">
                  <c:v>6.0</c:v>
                </c:pt>
                <c:pt idx="7">
                  <c:v>4.0</c:v>
                </c:pt>
                <c:pt idx="8">
                  <c:v>4.0</c:v>
                </c:pt>
                <c:pt idx="9">
                  <c:v>7.0</c:v>
                </c:pt>
                <c:pt idx="10">
                  <c:v>5.0</c:v>
                </c:pt>
                <c:pt idx="11">
                  <c:v>7.0</c:v>
                </c:pt>
                <c:pt idx="12">
                  <c:v>1.0</c:v>
                </c:pt>
                <c:pt idx="13">
                  <c:v>3.0</c:v>
                </c:pt>
                <c:pt idx="14">
                  <c:v>1.0</c:v>
                </c:pt>
                <c:pt idx="15">
                  <c:v>1.0</c:v>
                </c:pt>
                <c:pt idx="16">
                  <c:v>5.0</c:v>
                </c:pt>
                <c:pt idx="17">
                  <c:v>1.0</c:v>
                </c:pt>
                <c:pt idx="18">
                  <c:v>9.0</c:v>
                </c:pt>
                <c:pt idx="19">
                  <c:v>3.0</c:v>
                </c:pt>
                <c:pt idx="20">
                  <c:v>1.0</c:v>
                </c:pt>
                <c:pt idx="21">
                  <c:v>3.0</c:v>
                </c:pt>
                <c:pt idx="22">
                  <c:v>5.0</c:v>
                </c:pt>
                <c:pt idx="23">
                  <c:v>2.0</c:v>
                </c:pt>
                <c:pt idx="24">
                  <c:v>2.0</c:v>
                </c:pt>
                <c:pt idx="25">
                  <c:v>1.0</c:v>
                </c:pt>
                <c:pt idx="26">
                  <c:v>8.0</c:v>
                </c:pt>
              </c:numCache>
            </c:numRef>
          </c:val>
        </c:ser>
        <c:dLbls>
          <c:showLegendKey val="0"/>
          <c:showVal val="0"/>
          <c:showCatName val="0"/>
          <c:showSerName val="0"/>
          <c:showPercent val="0"/>
          <c:showBubbleSize val="0"/>
        </c:dLbls>
        <c:gapWidth val="150"/>
        <c:overlap val="100"/>
        <c:axId val="-2006919256"/>
        <c:axId val="-2006916088"/>
      </c:barChart>
      <c:catAx>
        <c:axId val="-2006919256"/>
        <c:scaling>
          <c:orientation val="minMax"/>
        </c:scaling>
        <c:delete val="0"/>
        <c:axPos val="b"/>
        <c:majorTickMark val="out"/>
        <c:minorTickMark val="none"/>
        <c:tickLblPos val="nextTo"/>
        <c:txPr>
          <a:bodyPr rot="-5400000" vert="horz"/>
          <a:lstStyle/>
          <a:p>
            <a:pPr>
              <a:defRPr/>
            </a:pPr>
            <a:endParaRPr lang="fr-FR"/>
          </a:p>
        </c:txPr>
        <c:crossAx val="-2006916088"/>
        <c:crosses val="autoZero"/>
        <c:auto val="1"/>
        <c:lblAlgn val="ctr"/>
        <c:lblOffset val="100"/>
        <c:noMultiLvlLbl val="0"/>
      </c:catAx>
      <c:valAx>
        <c:axId val="-2006916088"/>
        <c:scaling>
          <c:orientation val="minMax"/>
          <c:max val="100.0"/>
        </c:scaling>
        <c:delete val="0"/>
        <c:axPos val="l"/>
        <c:majorGridlines/>
        <c:numFmt formatCode="General" sourceLinked="1"/>
        <c:majorTickMark val="out"/>
        <c:minorTickMark val="none"/>
        <c:tickLblPos val="nextTo"/>
        <c:crossAx val="-2006919256"/>
        <c:crosses val="autoZero"/>
        <c:crossBetween val="between"/>
      </c:valAx>
    </c:plotArea>
    <c:legend>
      <c:legendPos val="b"/>
      <c:layout/>
      <c:overlay val="0"/>
    </c:legend>
    <c:plotVisOnly val="1"/>
    <c:dispBlanksAs val="gap"/>
    <c:showDLblsOverMax val="0"/>
  </c:chart>
  <c:spPr>
    <a:ln>
      <a:noFill/>
    </a:ln>
  </c:spPr>
  <c:txPr>
    <a:bodyPr/>
    <a:lstStyle/>
    <a:p>
      <a:pPr>
        <a:defRPr sz="1000"/>
      </a:pPr>
      <a:endParaRPr lang="fr-F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stacked"/>
        <c:varyColors val="0"/>
        <c:ser>
          <c:idx val="5"/>
          <c:order val="0"/>
          <c:tx>
            <c:strRef>
              <c:f>'Trains personnel'!$B$5</c:f>
              <c:strCache>
                <c:ptCount val="1"/>
                <c:pt idx="0">
                  <c:v>Très satisfait</c:v>
                </c:pt>
              </c:strCache>
            </c:strRef>
          </c:tx>
          <c:invertIfNegative val="0"/>
          <c:dLbls>
            <c:showLegendKey val="0"/>
            <c:showVal val="1"/>
            <c:showCatName val="0"/>
            <c:showSerName val="0"/>
            <c:showPercent val="0"/>
            <c:showBubbleSize val="0"/>
            <c:showLeaderLines val="0"/>
          </c:dLbls>
          <c:cat>
            <c:strRef>
              <c:f>'Trains personnel'!$A$6:$A$32</c:f>
              <c:strCache>
                <c:ptCount val="27"/>
                <c:pt idx="0">
                  <c:v>Allemagne</c:v>
                </c:pt>
                <c:pt idx="1">
                  <c:v>Grèce</c:v>
                </c:pt>
                <c:pt idx="2">
                  <c:v>Pologne</c:v>
                </c:pt>
                <c:pt idx="3">
                  <c:v>Estonie</c:v>
                </c:pt>
                <c:pt idx="4">
                  <c:v>Pays-Bas</c:v>
                </c:pt>
                <c:pt idx="5">
                  <c:v>Bulgarie</c:v>
                </c:pt>
                <c:pt idx="6">
                  <c:v>F R A N C E</c:v>
                </c:pt>
                <c:pt idx="7">
                  <c:v>Danemark</c:v>
                </c:pt>
                <c:pt idx="8">
                  <c:v>Hongrie</c:v>
                </c:pt>
                <c:pt idx="9">
                  <c:v>Roumanie</c:v>
                </c:pt>
                <c:pt idx="10">
                  <c:v>U E 26</c:v>
                </c:pt>
                <c:pt idx="11">
                  <c:v>Italie</c:v>
                </c:pt>
                <c:pt idx="12">
                  <c:v>Suède</c:v>
                </c:pt>
                <c:pt idx="13">
                  <c:v>Croatie</c:v>
                </c:pt>
                <c:pt idx="14">
                  <c:v>Lettonie</c:v>
                </c:pt>
                <c:pt idx="15">
                  <c:v>Finlande</c:v>
                </c:pt>
                <c:pt idx="16">
                  <c:v>Espagne</c:v>
                </c:pt>
                <c:pt idx="17">
                  <c:v>Belgique</c:v>
                </c:pt>
                <c:pt idx="18">
                  <c:v>Irlande</c:v>
                </c:pt>
                <c:pt idx="19">
                  <c:v>Autriche</c:v>
                </c:pt>
                <c:pt idx="20">
                  <c:v>Rép. Tchèque</c:v>
                </c:pt>
                <c:pt idx="21">
                  <c:v>Slovénie</c:v>
                </c:pt>
                <c:pt idx="22">
                  <c:v>Royaume-Uni</c:v>
                </c:pt>
                <c:pt idx="23">
                  <c:v>Luxembourg</c:v>
                </c:pt>
                <c:pt idx="24">
                  <c:v>Slovaquie</c:v>
                </c:pt>
                <c:pt idx="25">
                  <c:v>Lituanie</c:v>
                </c:pt>
                <c:pt idx="26">
                  <c:v>Portugal</c:v>
                </c:pt>
              </c:strCache>
            </c:strRef>
          </c:cat>
          <c:val>
            <c:numRef>
              <c:f>'Trains personnel'!$B$6:$B$32</c:f>
              <c:numCache>
                <c:formatCode>General</c:formatCode>
                <c:ptCount val="27"/>
                <c:pt idx="0">
                  <c:v>9.0</c:v>
                </c:pt>
                <c:pt idx="1">
                  <c:v>9.0</c:v>
                </c:pt>
                <c:pt idx="2">
                  <c:v>9.0</c:v>
                </c:pt>
                <c:pt idx="3">
                  <c:v>10.0</c:v>
                </c:pt>
                <c:pt idx="4">
                  <c:v>10.0</c:v>
                </c:pt>
                <c:pt idx="5">
                  <c:v>11.0</c:v>
                </c:pt>
                <c:pt idx="6">
                  <c:v>12.0</c:v>
                </c:pt>
                <c:pt idx="7">
                  <c:v>13.0</c:v>
                </c:pt>
                <c:pt idx="8">
                  <c:v>13.0</c:v>
                </c:pt>
                <c:pt idx="9">
                  <c:v>13.0</c:v>
                </c:pt>
                <c:pt idx="10">
                  <c:v>14.0</c:v>
                </c:pt>
                <c:pt idx="11">
                  <c:v>14.0</c:v>
                </c:pt>
                <c:pt idx="12">
                  <c:v>14.0</c:v>
                </c:pt>
                <c:pt idx="13">
                  <c:v>15.0</c:v>
                </c:pt>
                <c:pt idx="14">
                  <c:v>16.0</c:v>
                </c:pt>
                <c:pt idx="15">
                  <c:v>16.0</c:v>
                </c:pt>
                <c:pt idx="16">
                  <c:v>17.0</c:v>
                </c:pt>
                <c:pt idx="17">
                  <c:v>18.0</c:v>
                </c:pt>
                <c:pt idx="18">
                  <c:v>18.0</c:v>
                </c:pt>
                <c:pt idx="19">
                  <c:v>18.0</c:v>
                </c:pt>
                <c:pt idx="20">
                  <c:v>19.0</c:v>
                </c:pt>
                <c:pt idx="21">
                  <c:v>19.0</c:v>
                </c:pt>
                <c:pt idx="22">
                  <c:v>19.0</c:v>
                </c:pt>
                <c:pt idx="23">
                  <c:v>23.0</c:v>
                </c:pt>
                <c:pt idx="24">
                  <c:v>23.0</c:v>
                </c:pt>
                <c:pt idx="25">
                  <c:v>24.0</c:v>
                </c:pt>
                <c:pt idx="26">
                  <c:v>27.0</c:v>
                </c:pt>
              </c:numCache>
            </c:numRef>
          </c:val>
        </c:ser>
        <c:ser>
          <c:idx val="0"/>
          <c:order val="1"/>
          <c:tx>
            <c:strRef>
              <c:f>'Trains personnel'!$C$5</c:f>
              <c:strCache>
                <c:ptCount val="1"/>
                <c:pt idx="0">
                  <c:v>Satisfait</c:v>
                </c:pt>
              </c:strCache>
            </c:strRef>
          </c:tx>
          <c:invertIfNegative val="0"/>
          <c:dLbls>
            <c:showLegendKey val="0"/>
            <c:showVal val="1"/>
            <c:showCatName val="0"/>
            <c:showSerName val="0"/>
            <c:showPercent val="0"/>
            <c:showBubbleSize val="0"/>
            <c:showLeaderLines val="0"/>
          </c:dLbls>
          <c:cat>
            <c:strRef>
              <c:f>'Trains personnel'!$A$6:$A$32</c:f>
              <c:strCache>
                <c:ptCount val="27"/>
                <c:pt idx="0">
                  <c:v>Allemagne</c:v>
                </c:pt>
                <c:pt idx="1">
                  <c:v>Grèce</c:v>
                </c:pt>
                <c:pt idx="2">
                  <c:v>Pologne</c:v>
                </c:pt>
                <c:pt idx="3">
                  <c:v>Estonie</c:v>
                </c:pt>
                <c:pt idx="4">
                  <c:v>Pays-Bas</c:v>
                </c:pt>
                <c:pt idx="5">
                  <c:v>Bulgarie</c:v>
                </c:pt>
                <c:pt idx="6">
                  <c:v>F R A N C E</c:v>
                </c:pt>
                <c:pt idx="7">
                  <c:v>Danemark</c:v>
                </c:pt>
                <c:pt idx="8">
                  <c:v>Hongrie</c:v>
                </c:pt>
                <c:pt idx="9">
                  <c:v>Roumanie</c:v>
                </c:pt>
                <c:pt idx="10">
                  <c:v>U E 26</c:v>
                </c:pt>
                <c:pt idx="11">
                  <c:v>Italie</c:v>
                </c:pt>
                <c:pt idx="12">
                  <c:v>Suède</c:v>
                </c:pt>
                <c:pt idx="13">
                  <c:v>Croatie</c:v>
                </c:pt>
                <c:pt idx="14">
                  <c:v>Lettonie</c:v>
                </c:pt>
                <c:pt idx="15">
                  <c:v>Finlande</c:v>
                </c:pt>
                <c:pt idx="16">
                  <c:v>Espagne</c:v>
                </c:pt>
                <c:pt idx="17">
                  <c:v>Belgique</c:v>
                </c:pt>
                <c:pt idx="18">
                  <c:v>Irlande</c:v>
                </c:pt>
                <c:pt idx="19">
                  <c:v>Autriche</c:v>
                </c:pt>
                <c:pt idx="20">
                  <c:v>Rép. Tchèque</c:v>
                </c:pt>
                <c:pt idx="21">
                  <c:v>Slovénie</c:v>
                </c:pt>
                <c:pt idx="22">
                  <c:v>Royaume-Uni</c:v>
                </c:pt>
                <c:pt idx="23">
                  <c:v>Luxembourg</c:v>
                </c:pt>
                <c:pt idx="24">
                  <c:v>Slovaquie</c:v>
                </c:pt>
                <c:pt idx="25">
                  <c:v>Lituanie</c:v>
                </c:pt>
                <c:pt idx="26">
                  <c:v>Portugal</c:v>
                </c:pt>
              </c:strCache>
            </c:strRef>
          </c:cat>
          <c:val>
            <c:numRef>
              <c:f>'Trains personnel'!$C$6:$C$32</c:f>
              <c:numCache>
                <c:formatCode>General</c:formatCode>
                <c:ptCount val="27"/>
                <c:pt idx="0">
                  <c:v>44.0</c:v>
                </c:pt>
                <c:pt idx="1">
                  <c:v>29.0</c:v>
                </c:pt>
                <c:pt idx="2">
                  <c:v>43.0</c:v>
                </c:pt>
                <c:pt idx="3">
                  <c:v>17.0</c:v>
                </c:pt>
                <c:pt idx="4">
                  <c:v>47.0</c:v>
                </c:pt>
                <c:pt idx="5">
                  <c:v>33.0</c:v>
                </c:pt>
                <c:pt idx="6">
                  <c:v>52.0</c:v>
                </c:pt>
                <c:pt idx="7">
                  <c:v>37.0</c:v>
                </c:pt>
                <c:pt idx="8">
                  <c:v>41.0</c:v>
                </c:pt>
                <c:pt idx="9">
                  <c:v>38.0</c:v>
                </c:pt>
                <c:pt idx="10">
                  <c:v>44.0</c:v>
                </c:pt>
                <c:pt idx="11">
                  <c:v>44.0</c:v>
                </c:pt>
                <c:pt idx="12">
                  <c:v>49.0</c:v>
                </c:pt>
                <c:pt idx="13">
                  <c:v>35.0</c:v>
                </c:pt>
                <c:pt idx="14">
                  <c:v>46.0</c:v>
                </c:pt>
                <c:pt idx="15">
                  <c:v>55.0</c:v>
                </c:pt>
                <c:pt idx="16">
                  <c:v>41.0</c:v>
                </c:pt>
                <c:pt idx="17">
                  <c:v>58.0</c:v>
                </c:pt>
                <c:pt idx="18">
                  <c:v>38.0</c:v>
                </c:pt>
                <c:pt idx="19">
                  <c:v>42.0</c:v>
                </c:pt>
                <c:pt idx="20">
                  <c:v>46.0</c:v>
                </c:pt>
                <c:pt idx="21">
                  <c:v>32.0</c:v>
                </c:pt>
                <c:pt idx="22">
                  <c:v>45.0</c:v>
                </c:pt>
                <c:pt idx="23">
                  <c:v>47.0</c:v>
                </c:pt>
                <c:pt idx="24">
                  <c:v>34.0</c:v>
                </c:pt>
                <c:pt idx="25">
                  <c:v>24.0</c:v>
                </c:pt>
                <c:pt idx="26">
                  <c:v>30.0</c:v>
                </c:pt>
              </c:numCache>
            </c:numRef>
          </c:val>
        </c:ser>
        <c:ser>
          <c:idx val="1"/>
          <c:order val="2"/>
          <c:tx>
            <c:strRef>
              <c:f>'Trains personnel'!$D$5</c:f>
              <c:strCache>
                <c:ptCount val="1"/>
                <c:pt idx="0">
                  <c:v>Insatisfait</c:v>
                </c:pt>
              </c:strCache>
            </c:strRef>
          </c:tx>
          <c:invertIfNegative val="0"/>
          <c:dLbls>
            <c:showLegendKey val="0"/>
            <c:showVal val="1"/>
            <c:showCatName val="0"/>
            <c:showSerName val="0"/>
            <c:showPercent val="0"/>
            <c:showBubbleSize val="0"/>
            <c:showLeaderLines val="0"/>
          </c:dLbls>
          <c:cat>
            <c:strRef>
              <c:f>'Trains personnel'!$A$6:$A$32</c:f>
              <c:strCache>
                <c:ptCount val="27"/>
                <c:pt idx="0">
                  <c:v>Allemagne</c:v>
                </c:pt>
                <c:pt idx="1">
                  <c:v>Grèce</c:v>
                </c:pt>
                <c:pt idx="2">
                  <c:v>Pologne</c:v>
                </c:pt>
                <c:pt idx="3">
                  <c:v>Estonie</c:v>
                </c:pt>
                <c:pt idx="4">
                  <c:v>Pays-Bas</c:v>
                </c:pt>
                <c:pt idx="5">
                  <c:v>Bulgarie</c:v>
                </c:pt>
                <c:pt idx="6">
                  <c:v>F R A N C E</c:v>
                </c:pt>
                <c:pt idx="7">
                  <c:v>Danemark</c:v>
                </c:pt>
                <c:pt idx="8">
                  <c:v>Hongrie</c:v>
                </c:pt>
                <c:pt idx="9">
                  <c:v>Roumanie</c:v>
                </c:pt>
                <c:pt idx="10">
                  <c:v>U E 26</c:v>
                </c:pt>
                <c:pt idx="11">
                  <c:v>Italie</c:v>
                </c:pt>
                <c:pt idx="12">
                  <c:v>Suède</c:v>
                </c:pt>
                <c:pt idx="13">
                  <c:v>Croatie</c:v>
                </c:pt>
                <c:pt idx="14">
                  <c:v>Lettonie</c:v>
                </c:pt>
                <c:pt idx="15">
                  <c:v>Finlande</c:v>
                </c:pt>
                <c:pt idx="16">
                  <c:v>Espagne</c:v>
                </c:pt>
                <c:pt idx="17">
                  <c:v>Belgique</c:v>
                </c:pt>
                <c:pt idx="18">
                  <c:v>Irlande</c:v>
                </c:pt>
                <c:pt idx="19">
                  <c:v>Autriche</c:v>
                </c:pt>
                <c:pt idx="20">
                  <c:v>Rép. Tchèque</c:v>
                </c:pt>
                <c:pt idx="21">
                  <c:v>Slovénie</c:v>
                </c:pt>
                <c:pt idx="22">
                  <c:v>Royaume-Uni</c:v>
                </c:pt>
                <c:pt idx="23">
                  <c:v>Luxembourg</c:v>
                </c:pt>
                <c:pt idx="24">
                  <c:v>Slovaquie</c:v>
                </c:pt>
                <c:pt idx="25">
                  <c:v>Lituanie</c:v>
                </c:pt>
                <c:pt idx="26">
                  <c:v>Portugal</c:v>
                </c:pt>
              </c:strCache>
            </c:strRef>
          </c:cat>
          <c:val>
            <c:numRef>
              <c:f>'Trains personnel'!$D$6:$D$32</c:f>
              <c:numCache>
                <c:formatCode>General</c:formatCode>
                <c:ptCount val="27"/>
                <c:pt idx="0">
                  <c:v>26.0</c:v>
                </c:pt>
                <c:pt idx="1">
                  <c:v>17.0</c:v>
                </c:pt>
                <c:pt idx="2">
                  <c:v>16.0</c:v>
                </c:pt>
                <c:pt idx="3">
                  <c:v>1.0</c:v>
                </c:pt>
                <c:pt idx="4">
                  <c:v>19.0</c:v>
                </c:pt>
                <c:pt idx="5">
                  <c:v>14.0</c:v>
                </c:pt>
                <c:pt idx="6">
                  <c:v>22.0</c:v>
                </c:pt>
                <c:pt idx="7">
                  <c:v>20.0</c:v>
                </c:pt>
                <c:pt idx="8">
                  <c:v>12.0</c:v>
                </c:pt>
                <c:pt idx="9">
                  <c:v>15.0</c:v>
                </c:pt>
                <c:pt idx="10">
                  <c:v>17.0</c:v>
                </c:pt>
                <c:pt idx="11">
                  <c:v>14.0</c:v>
                </c:pt>
                <c:pt idx="12">
                  <c:v>14.0</c:v>
                </c:pt>
                <c:pt idx="13">
                  <c:v>9.0</c:v>
                </c:pt>
                <c:pt idx="14">
                  <c:v>7.0</c:v>
                </c:pt>
                <c:pt idx="15">
                  <c:v>12.0</c:v>
                </c:pt>
                <c:pt idx="16">
                  <c:v>14.0</c:v>
                </c:pt>
                <c:pt idx="17">
                  <c:v>9.0</c:v>
                </c:pt>
                <c:pt idx="18">
                  <c:v>20.0</c:v>
                </c:pt>
                <c:pt idx="19">
                  <c:v>17.0</c:v>
                </c:pt>
                <c:pt idx="20">
                  <c:v>9.0</c:v>
                </c:pt>
                <c:pt idx="21">
                  <c:v>6.0</c:v>
                </c:pt>
                <c:pt idx="22">
                  <c:v>16.0</c:v>
                </c:pt>
                <c:pt idx="23">
                  <c:v>10.0</c:v>
                </c:pt>
                <c:pt idx="24">
                  <c:v>9.0</c:v>
                </c:pt>
                <c:pt idx="25">
                  <c:v>1.0</c:v>
                </c:pt>
                <c:pt idx="26">
                  <c:v>10.0</c:v>
                </c:pt>
              </c:numCache>
            </c:numRef>
          </c:val>
        </c:ser>
        <c:ser>
          <c:idx val="2"/>
          <c:order val="3"/>
          <c:tx>
            <c:strRef>
              <c:f>'Trains personnel'!$E$5</c:f>
              <c:strCache>
                <c:ptCount val="1"/>
                <c:pt idx="0">
                  <c:v>Très mécontent</c:v>
                </c:pt>
              </c:strCache>
            </c:strRef>
          </c:tx>
          <c:invertIfNegative val="0"/>
          <c:dLbls>
            <c:showLegendKey val="0"/>
            <c:showVal val="1"/>
            <c:showCatName val="0"/>
            <c:showSerName val="0"/>
            <c:showPercent val="0"/>
            <c:showBubbleSize val="0"/>
            <c:showLeaderLines val="0"/>
          </c:dLbls>
          <c:cat>
            <c:strRef>
              <c:f>'Trains personnel'!$A$6:$A$32</c:f>
              <c:strCache>
                <c:ptCount val="27"/>
                <c:pt idx="0">
                  <c:v>Allemagne</c:v>
                </c:pt>
                <c:pt idx="1">
                  <c:v>Grèce</c:v>
                </c:pt>
                <c:pt idx="2">
                  <c:v>Pologne</c:v>
                </c:pt>
                <c:pt idx="3">
                  <c:v>Estonie</c:v>
                </c:pt>
                <c:pt idx="4">
                  <c:v>Pays-Bas</c:v>
                </c:pt>
                <c:pt idx="5">
                  <c:v>Bulgarie</c:v>
                </c:pt>
                <c:pt idx="6">
                  <c:v>F R A N C E</c:v>
                </c:pt>
                <c:pt idx="7">
                  <c:v>Danemark</c:v>
                </c:pt>
                <c:pt idx="8">
                  <c:v>Hongrie</c:v>
                </c:pt>
                <c:pt idx="9">
                  <c:v>Roumanie</c:v>
                </c:pt>
                <c:pt idx="10">
                  <c:v>U E 26</c:v>
                </c:pt>
                <c:pt idx="11">
                  <c:v>Italie</c:v>
                </c:pt>
                <c:pt idx="12">
                  <c:v>Suède</c:v>
                </c:pt>
                <c:pt idx="13">
                  <c:v>Croatie</c:v>
                </c:pt>
                <c:pt idx="14">
                  <c:v>Lettonie</c:v>
                </c:pt>
                <c:pt idx="15">
                  <c:v>Finlande</c:v>
                </c:pt>
                <c:pt idx="16">
                  <c:v>Espagne</c:v>
                </c:pt>
                <c:pt idx="17">
                  <c:v>Belgique</c:v>
                </c:pt>
                <c:pt idx="18">
                  <c:v>Irlande</c:v>
                </c:pt>
                <c:pt idx="19">
                  <c:v>Autriche</c:v>
                </c:pt>
                <c:pt idx="20">
                  <c:v>Rép. Tchèque</c:v>
                </c:pt>
                <c:pt idx="21">
                  <c:v>Slovénie</c:v>
                </c:pt>
                <c:pt idx="22">
                  <c:v>Royaume-Uni</c:v>
                </c:pt>
                <c:pt idx="23">
                  <c:v>Luxembourg</c:v>
                </c:pt>
                <c:pt idx="24">
                  <c:v>Slovaquie</c:v>
                </c:pt>
                <c:pt idx="25">
                  <c:v>Lituanie</c:v>
                </c:pt>
                <c:pt idx="26">
                  <c:v>Portugal</c:v>
                </c:pt>
              </c:strCache>
            </c:strRef>
          </c:cat>
          <c:val>
            <c:numRef>
              <c:f>'Trains personnel'!$E$6:$E$32</c:f>
              <c:numCache>
                <c:formatCode>General</c:formatCode>
                <c:ptCount val="27"/>
                <c:pt idx="0">
                  <c:v>6.0</c:v>
                </c:pt>
                <c:pt idx="1">
                  <c:v>5.0</c:v>
                </c:pt>
                <c:pt idx="2">
                  <c:v>2.0</c:v>
                </c:pt>
                <c:pt idx="3">
                  <c:v>1.0</c:v>
                </c:pt>
                <c:pt idx="4">
                  <c:v>6.0</c:v>
                </c:pt>
                <c:pt idx="5">
                  <c:v>5.0</c:v>
                </c:pt>
                <c:pt idx="6">
                  <c:v>6.0</c:v>
                </c:pt>
                <c:pt idx="7">
                  <c:v>4.0</c:v>
                </c:pt>
                <c:pt idx="8">
                  <c:v>4.0</c:v>
                </c:pt>
                <c:pt idx="9">
                  <c:v>7.0</c:v>
                </c:pt>
                <c:pt idx="10">
                  <c:v>5.0</c:v>
                </c:pt>
                <c:pt idx="11">
                  <c:v>7.0</c:v>
                </c:pt>
                <c:pt idx="12">
                  <c:v>1.0</c:v>
                </c:pt>
                <c:pt idx="13">
                  <c:v>3.0</c:v>
                </c:pt>
                <c:pt idx="14">
                  <c:v>1.0</c:v>
                </c:pt>
                <c:pt idx="15">
                  <c:v>1.0</c:v>
                </c:pt>
                <c:pt idx="16">
                  <c:v>5.0</c:v>
                </c:pt>
                <c:pt idx="17">
                  <c:v>1.0</c:v>
                </c:pt>
                <c:pt idx="18">
                  <c:v>9.0</c:v>
                </c:pt>
                <c:pt idx="19">
                  <c:v>3.0</c:v>
                </c:pt>
                <c:pt idx="20">
                  <c:v>1.0</c:v>
                </c:pt>
                <c:pt idx="21">
                  <c:v>3.0</c:v>
                </c:pt>
                <c:pt idx="22">
                  <c:v>5.0</c:v>
                </c:pt>
                <c:pt idx="23">
                  <c:v>2.0</c:v>
                </c:pt>
                <c:pt idx="24">
                  <c:v>2.0</c:v>
                </c:pt>
                <c:pt idx="25">
                  <c:v>1.0</c:v>
                </c:pt>
                <c:pt idx="26">
                  <c:v>8.0</c:v>
                </c:pt>
              </c:numCache>
            </c:numRef>
          </c:val>
        </c:ser>
        <c:dLbls>
          <c:showLegendKey val="0"/>
          <c:showVal val="0"/>
          <c:showCatName val="0"/>
          <c:showSerName val="0"/>
          <c:showPercent val="0"/>
          <c:showBubbleSize val="0"/>
        </c:dLbls>
        <c:gapWidth val="150"/>
        <c:overlap val="100"/>
        <c:axId val="-2044164264"/>
        <c:axId val="-2043936984"/>
      </c:barChart>
      <c:catAx>
        <c:axId val="-2044164264"/>
        <c:scaling>
          <c:orientation val="minMax"/>
        </c:scaling>
        <c:delete val="0"/>
        <c:axPos val="b"/>
        <c:majorTickMark val="out"/>
        <c:minorTickMark val="none"/>
        <c:tickLblPos val="nextTo"/>
        <c:txPr>
          <a:bodyPr rot="-5400000" vert="horz"/>
          <a:lstStyle/>
          <a:p>
            <a:pPr>
              <a:defRPr/>
            </a:pPr>
            <a:endParaRPr lang="fr-FR"/>
          </a:p>
        </c:txPr>
        <c:crossAx val="-2043936984"/>
        <c:crosses val="autoZero"/>
        <c:auto val="1"/>
        <c:lblAlgn val="ctr"/>
        <c:lblOffset val="100"/>
        <c:noMultiLvlLbl val="0"/>
      </c:catAx>
      <c:valAx>
        <c:axId val="-2043936984"/>
        <c:scaling>
          <c:orientation val="minMax"/>
          <c:max val="100.0"/>
        </c:scaling>
        <c:delete val="0"/>
        <c:axPos val="l"/>
        <c:majorGridlines/>
        <c:numFmt formatCode="General" sourceLinked="1"/>
        <c:majorTickMark val="out"/>
        <c:minorTickMark val="none"/>
        <c:tickLblPos val="nextTo"/>
        <c:crossAx val="-2044164264"/>
        <c:crosses val="autoZero"/>
        <c:crossBetween val="between"/>
      </c:valAx>
    </c:plotArea>
    <c:legend>
      <c:legendPos val="b"/>
      <c:layout/>
      <c:overlay val="0"/>
    </c:legend>
    <c:plotVisOnly val="1"/>
    <c:dispBlanksAs val="gap"/>
    <c:showDLblsOverMax val="0"/>
  </c:chart>
  <c:spPr>
    <a:ln>
      <a:noFill/>
    </a:ln>
  </c:spPr>
  <c:txPr>
    <a:bodyPr/>
    <a:lstStyle/>
    <a:p>
      <a:pPr>
        <a:defRPr sz="1000"/>
      </a:pPr>
      <a:endParaRPr lang="fr-F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stacked"/>
        <c:varyColors val="0"/>
        <c:ser>
          <c:idx val="5"/>
          <c:order val="0"/>
          <c:tx>
            <c:strRef>
              <c:f>'Trains accessibilité'!$B$5</c:f>
              <c:strCache>
                <c:ptCount val="1"/>
                <c:pt idx="0">
                  <c:v>Très satisfait</c:v>
                </c:pt>
              </c:strCache>
            </c:strRef>
          </c:tx>
          <c:invertIfNegative val="0"/>
          <c:dLbls>
            <c:showLegendKey val="0"/>
            <c:showVal val="1"/>
            <c:showCatName val="0"/>
            <c:showSerName val="0"/>
            <c:showPercent val="0"/>
            <c:showBubbleSize val="0"/>
            <c:showLeaderLines val="0"/>
          </c:dLbls>
          <c:cat>
            <c:strRef>
              <c:f>'Trains accessibilité'!$A$6:$A$32</c:f>
              <c:strCache>
                <c:ptCount val="27"/>
                <c:pt idx="0">
                  <c:v>Pologne</c:v>
                </c:pt>
                <c:pt idx="1">
                  <c:v>Bulgarie</c:v>
                </c:pt>
                <c:pt idx="2">
                  <c:v>Lettonie</c:v>
                </c:pt>
                <c:pt idx="3">
                  <c:v>Grèce</c:v>
                </c:pt>
                <c:pt idx="4">
                  <c:v>Italie</c:v>
                </c:pt>
                <c:pt idx="5">
                  <c:v>Suède</c:v>
                </c:pt>
                <c:pt idx="6">
                  <c:v>Allemagne</c:v>
                </c:pt>
                <c:pt idx="7">
                  <c:v>Estonie</c:v>
                </c:pt>
                <c:pt idx="8">
                  <c:v>F R A N C E</c:v>
                </c:pt>
                <c:pt idx="9">
                  <c:v>Hongrie</c:v>
                </c:pt>
                <c:pt idx="10">
                  <c:v>Croatie</c:v>
                </c:pt>
                <c:pt idx="11">
                  <c:v>Pays-Bas</c:v>
                </c:pt>
                <c:pt idx="12">
                  <c:v>Roumanie</c:v>
                </c:pt>
                <c:pt idx="13">
                  <c:v>Finlande</c:v>
                </c:pt>
                <c:pt idx="14">
                  <c:v>U E 26</c:v>
                </c:pt>
                <c:pt idx="15">
                  <c:v>Rép. Tchèque</c:v>
                </c:pt>
                <c:pt idx="16">
                  <c:v>Slovaquie</c:v>
                </c:pt>
                <c:pt idx="17">
                  <c:v>Belgique</c:v>
                </c:pt>
                <c:pt idx="18">
                  <c:v>Autriche</c:v>
                </c:pt>
                <c:pt idx="19">
                  <c:v>Danemark</c:v>
                </c:pt>
                <c:pt idx="20">
                  <c:v>Lituanie</c:v>
                </c:pt>
                <c:pt idx="21">
                  <c:v>Espagne</c:v>
                </c:pt>
                <c:pt idx="22">
                  <c:v>Slovénie</c:v>
                </c:pt>
                <c:pt idx="23">
                  <c:v>Luxembourg</c:v>
                </c:pt>
                <c:pt idx="24">
                  <c:v>Irlande</c:v>
                </c:pt>
                <c:pt idx="25">
                  <c:v>Portugal</c:v>
                </c:pt>
                <c:pt idx="26">
                  <c:v>Royaume-Uni</c:v>
                </c:pt>
              </c:strCache>
            </c:strRef>
          </c:cat>
          <c:val>
            <c:numRef>
              <c:f>'Trains accessibilité'!$B$6:$B$32</c:f>
              <c:numCache>
                <c:formatCode>General</c:formatCode>
                <c:ptCount val="27"/>
                <c:pt idx="0">
                  <c:v>2.0</c:v>
                </c:pt>
                <c:pt idx="1">
                  <c:v>3.0</c:v>
                </c:pt>
                <c:pt idx="2">
                  <c:v>4.0</c:v>
                </c:pt>
                <c:pt idx="3">
                  <c:v>5.0</c:v>
                </c:pt>
                <c:pt idx="4">
                  <c:v>5.0</c:v>
                </c:pt>
                <c:pt idx="5">
                  <c:v>5.0</c:v>
                </c:pt>
                <c:pt idx="6">
                  <c:v>6.0</c:v>
                </c:pt>
                <c:pt idx="7">
                  <c:v>6.0</c:v>
                </c:pt>
                <c:pt idx="8">
                  <c:v>7.0</c:v>
                </c:pt>
                <c:pt idx="9">
                  <c:v>7.0</c:v>
                </c:pt>
                <c:pt idx="10">
                  <c:v>7.0</c:v>
                </c:pt>
                <c:pt idx="11">
                  <c:v>8.0</c:v>
                </c:pt>
                <c:pt idx="12">
                  <c:v>8.0</c:v>
                </c:pt>
                <c:pt idx="13">
                  <c:v>8.0</c:v>
                </c:pt>
                <c:pt idx="14">
                  <c:v>9.0</c:v>
                </c:pt>
                <c:pt idx="15">
                  <c:v>9.0</c:v>
                </c:pt>
                <c:pt idx="16">
                  <c:v>9.0</c:v>
                </c:pt>
                <c:pt idx="17">
                  <c:v>10.0</c:v>
                </c:pt>
                <c:pt idx="18">
                  <c:v>10.0</c:v>
                </c:pt>
                <c:pt idx="19">
                  <c:v>11.0</c:v>
                </c:pt>
                <c:pt idx="20">
                  <c:v>11.0</c:v>
                </c:pt>
                <c:pt idx="21">
                  <c:v>12.0</c:v>
                </c:pt>
                <c:pt idx="22">
                  <c:v>12.0</c:v>
                </c:pt>
                <c:pt idx="23">
                  <c:v>13.0</c:v>
                </c:pt>
                <c:pt idx="24">
                  <c:v>19.0</c:v>
                </c:pt>
                <c:pt idx="25">
                  <c:v>21.0</c:v>
                </c:pt>
                <c:pt idx="26">
                  <c:v>24.0</c:v>
                </c:pt>
              </c:numCache>
            </c:numRef>
          </c:val>
        </c:ser>
        <c:ser>
          <c:idx val="0"/>
          <c:order val="1"/>
          <c:tx>
            <c:strRef>
              <c:f>'Trains accessibilité'!$C$5</c:f>
              <c:strCache>
                <c:ptCount val="1"/>
                <c:pt idx="0">
                  <c:v>Satisfait</c:v>
                </c:pt>
              </c:strCache>
            </c:strRef>
          </c:tx>
          <c:invertIfNegative val="0"/>
          <c:dLbls>
            <c:showLegendKey val="0"/>
            <c:showVal val="1"/>
            <c:showCatName val="0"/>
            <c:showSerName val="0"/>
            <c:showPercent val="0"/>
            <c:showBubbleSize val="0"/>
            <c:showLeaderLines val="0"/>
          </c:dLbls>
          <c:cat>
            <c:strRef>
              <c:f>'Trains accessibilité'!$A$6:$A$32</c:f>
              <c:strCache>
                <c:ptCount val="27"/>
                <c:pt idx="0">
                  <c:v>Pologne</c:v>
                </c:pt>
                <c:pt idx="1">
                  <c:v>Bulgarie</c:v>
                </c:pt>
                <c:pt idx="2">
                  <c:v>Lettonie</c:v>
                </c:pt>
                <c:pt idx="3">
                  <c:v>Grèce</c:v>
                </c:pt>
                <c:pt idx="4">
                  <c:v>Italie</c:v>
                </c:pt>
                <c:pt idx="5">
                  <c:v>Suède</c:v>
                </c:pt>
                <c:pt idx="6">
                  <c:v>Allemagne</c:v>
                </c:pt>
                <c:pt idx="7">
                  <c:v>Estonie</c:v>
                </c:pt>
                <c:pt idx="8">
                  <c:v>F R A N C E</c:v>
                </c:pt>
                <c:pt idx="9">
                  <c:v>Hongrie</c:v>
                </c:pt>
                <c:pt idx="10">
                  <c:v>Croatie</c:v>
                </c:pt>
                <c:pt idx="11">
                  <c:v>Pays-Bas</c:v>
                </c:pt>
                <c:pt idx="12">
                  <c:v>Roumanie</c:v>
                </c:pt>
                <c:pt idx="13">
                  <c:v>Finlande</c:v>
                </c:pt>
                <c:pt idx="14">
                  <c:v>U E 26</c:v>
                </c:pt>
                <c:pt idx="15">
                  <c:v>Rép. Tchèque</c:v>
                </c:pt>
                <c:pt idx="16">
                  <c:v>Slovaquie</c:v>
                </c:pt>
                <c:pt idx="17">
                  <c:v>Belgique</c:v>
                </c:pt>
                <c:pt idx="18">
                  <c:v>Autriche</c:v>
                </c:pt>
                <c:pt idx="19">
                  <c:v>Danemark</c:v>
                </c:pt>
                <c:pt idx="20">
                  <c:v>Lituanie</c:v>
                </c:pt>
                <c:pt idx="21">
                  <c:v>Espagne</c:v>
                </c:pt>
                <c:pt idx="22">
                  <c:v>Slovénie</c:v>
                </c:pt>
                <c:pt idx="23">
                  <c:v>Luxembourg</c:v>
                </c:pt>
                <c:pt idx="24">
                  <c:v>Irlande</c:v>
                </c:pt>
                <c:pt idx="25">
                  <c:v>Portugal</c:v>
                </c:pt>
                <c:pt idx="26">
                  <c:v>Royaume-Uni</c:v>
                </c:pt>
              </c:strCache>
            </c:strRef>
          </c:cat>
          <c:val>
            <c:numRef>
              <c:f>'Trains accessibilité'!$C$6:$C$32</c:f>
              <c:numCache>
                <c:formatCode>General</c:formatCode>
                <c:ptCount val="27"/>
                <c:pt idx="0">
                  <c:v>26.0</c:v>
                </c:pt>
                <c:pt idx="1">
                  <c:v>15.0</c:v>
                </c:pt>
                <c:pt idx="2">
                  <c:v>22.0</c:v>
                </c:pt>
                <c:pt idx="3">
                  <c:v>24.0</c:v>
                </c:pt>
                <c:pt idx="4">
                  <c:v>18.0</c:v>
                </c:pt>
                <c:pt idx="5">
                  <c:v>22.0</c:v>
                </c:pt>
                <c:pt idx="6">
                  <c:v>30.0</c:v>
                </c:pt>
                <c:pt idx="7">
                  <c:v>13.0</c:v>
                </c:pt>
                <c:pt idx="8">
                  <c:v>42.0</c:v>
                </c:pt>
                <c:pt idx="9">
                  <c:v>26.0</c:v>
                </c:pt>
                <c:pt idx="10">
                  <c:v>16.0</c:v>
                </c:pt>
                <c:pt idx="11">
                  <c:v>38.0</c:v>
                </c:pt>
                <c:pt idx="12">
                  <c:v>22.0</c:v>
                </c:pt>
                <c:pt idx="13">
                  <c:v>45.0</c:v>
                </c:pt>
                <c:pt idx="14">
                  <c:v>31.0</c:v>
                </c:pt>
                <c:pt idx="15">
                  <c:v>27.0</c:v>
                </c:pt>
                <c:pt idx="16">
                  <c:v>23.0</c:v>
                </c:pt>
                <c:pt idx="17">
                  <c:v>39.0</c:v>
                </c:pt>
                <c:pt idx="18">
                  <c:v>26.0</c:v>
                </c:pt>
                <c:pt idx="19">
                  <c:v>29.0</c:v>
                </c:pt>
                <c:pt idx="20">
                  <c:v>17.0</c:v>
                </c:pt>
                <c:pt idx="21">
                  <c:v>36.0</c:v>
                </c:pt>
                <c:pt idx="22">
                  <c:v>16.0</c:v>
                </c:pt>
                <c:pt idx="23">
                  <c:v>38.0</c:v>
                </c:pt>
                <c:pt idx="24">
                  <c:v>38.0</c:v>
                </c:pt>
                <c:pt idx="25">
                  <c:v>20.0</c:v>
                </c:pt>
                <c:pt idx="26">
                  <c:v>39.0</c:v>
                </c:pt>
              </c:numCache>
            </c:numRef>
          </c:val>
        </c:ser>
        <c:ser>
          <c:idx val="1"/>
          <c:order val="2"/>
          <c:tx>
            <c:strRef>
              <c:f>'Trains accessibilité'!$D$5</c:f>
              <c:strCache>
                <c:ptCount val="1"/>
                <c:pt idx="0">
                  <c:v>Insatisfait</c:v>
                </c:pt>
              </c:strCache>
            </c:strRef>
          </c:tx>
          <c:invertIfNegative val="0"/>
          <c:dLbls>
            <c:showLegendKey val="0"/>
            <c:showVal val="1"/>
            <c:showCatName val="0"/>
            <c:showSerName val="0"/>
            <c:showPercent val="0"/>
            <c:showBubbleSize val="0"/>
            <c:showLeaderLines val="0"/>
          </c:dLbls>
          <c:cat>
            <c:strRef>
              <c:f>'Trains accessibilité'!$A$6:$A$32</c:f>
              <c:strCache>
                <c:ptCount val="27"/>
                <c:pt idx="0">
                  <c:v>Pologne</c:v>
                </c:pt>
                <c:pt idx="1">
                  <c:v>Bulgarie</c:v>
                </c:pt>
                <c:pt idx="2">
                  <c:v>Lettonie</c:v>
                </c:pt>
                <c:pt idx="3">
                  <c:v>Grèce</c:v>
                </c:pt>
                <c:pt idx="4">
                  <c:v>Italie</c:v>
                </c:pt>
                <c:pt idx="5">
                  <c:v>Suède</c:v>
                </c:pt>
                <c:pt idx="6">
                  <c:v>Allemagne</c:v>
                </c:pt>
                <c:pt idx="7">
                  <c:v>Estonie</c:v>
                </c:pt>
                <c:pt idx="8">
                  <c:v>F R A N C E</c:v>
                </c:pt>
                <c:pt idx="9">
                  <c:v>Hongrie</c:v>
                </c:pt>
                <c:pt idx="10">
                  <c:v>Croatie</c:v>
                </c:pt>
                <c:pt idx="11">
                  <c:v>Pays-Bas</c:v>
                </c:pt>
                <c:pt idx="12">
                  <c:v>Roumanie</c:v>
                </c:pt>
                <c:pt idx="13">
                  <c:v>Finlande</c:v>
                </c:pt>
                <c:pt idx="14">
                  <c:v>U E 26</c:v>
                </c:pt>
                <c:pt idx="15">
                  <c:v>Rép. Tchèque</c:v>
                </c:pt>
                <c:pt idx="16">
                  <c:v>Slovaquie</c:v>
                </c:pt>
                <c:pt idx="17">
                  <c:v>Belgique</c:v>
                </c:pt>
                <c:pt idx="18">
                  <c:v>Autriche</c:v>
                </c:pt>
                <c:pt idx="19">
                  <c:v>Danemark</c:v>
                </c:pt>
                <c:pt idx="20">
                  <c:v>Lituanie</c:v>
                </c:pt>
                <c:pt idx="21">
                  <c:v>Espagne</c:v>
                </c:pt>
                <c:pt idx="22">
                  <c:v>Slovénie</c:v>
                </c:pt>
                <c:pt idx="23">
                  <c:v>Luxembourg</c:v>
                </c:pt>
                <c:pt idx="24">
                  <c:v>Irlande</c:v>
                </c:pt>
                <c:pt idx="25">
                  <c:v>Portugal</c:v>
                </c:pt>
                <c:pt idx="26">
                  <c:v>Royaume-Uni</c:v>
                </c:pt>
              </c:strCache>
            </c:strRef>
          </c:cat>
          <c:val>
            <c:numRef>
              <c:f>'Trains accessibilité'!$D$6:$D$32</c:f>
              <c:numCache>
                <c:formatCode>General</c:formatCode>
                <c:ptCount val="27"/>
                <c:pt idx="0">
                  <c:v>26.0</c:v>
                </c:pt>
                <c:pt idx="1">
                  <c:v>21.0</c:v>
                </c:pt>
                <c:pt idx="2">
                  <c:v>28.0</c:v>
                </c:pt>
                <c:pt idx="3">
                  <c:v>22.0</c:v>
                </c:pt>
                <c:pt idx="4">
                  <c:v>25.0</c:v>
                </c:pt>
                <c:pt idx="5">
                  <c:v>15.0</c:v>
                </c:pt>
                <c:pt idx="6">
                  <c:v>32.0</c:v>
                </c:pt>
                <c:pt idx="7">
                  <c:v>7.0</c:v>
                </c:pt>
                <c:pt idx="8">
                  <c:v>32.0</c:v>
                </c:pt>
                <c:pt idx="9">
                  <c:v>18.0</c:v>
                </c:pt>
                <c:pt idx="10">
                  <c:v>22.0</c:v>
                </c:pt>
                <c:pt idx="11">
                  <c:v>19.0</c:v>
                </c:pt>
                <c:pt idx="12">
                  <c:v>21.0</c:v>
                </c:pt>
                <c:pt idx="13">
                  <c:v>24.0</c:v>
                </c:pt>
                <c:pt idx="14">
                  <c:v>23.0</c:v>
                </c:pt>
                <c:pt idx="15">
                  <c:v>26.0</c:v>
                </c:pt>
                <c:pt idx="16">
                  <c:v>14.0</c:v>
                </c:pt>
                <c:pt idx="17">
                  <c:v>26.0</c:v>
                </c:pt>
                <c:pt idx="18">
                  <c:v>19.0</c:v>
                </c:pt>
                <c:pt idx="19">
                  <c:v>17.0</c:v>
                </c:pt>
                <c:pt idx="20">
                  <c:v>9.0</c:v>
                </c:pt>
                <c:pt idx="21">
                  <c:v>15.0</c:v>
                </c:pt>
                <c:pt idx="22">
                  <c:v>16.0</c:v>
                </c:pt>
                <c:pt idx="23">
                  <c:v>21.0</c:v>
                </c:pt>
                <c:pt idx="24">
                  <c:v>18.0</c:v>
                </c:pt>
                <c:pt idx="25">
                  <c:v>18.0</c:v>
                </c:pt>
                <c:pt idx="26">
                  <c:v>15.0</c:v>
                </c:pt>
              </c:numCache>
            </c:numRef>
          </c:val>
        </c:ser>
        <c:ser>
          <c:idx val="2"/>
          <c:order val="3"/>
          <c:tx>
            <c:strRef>
              <c:f>'Trains accessibilité'!$E$5</c:f>
              <c:strCache>
                <c:ptCount val="1"/>
                <c:pt idx="0">
                  <c:v>Très mécontent</c:v>
                </c:pt>
              </c:strCache>
            </c:strRef>
          </c:tx>
          <c:invertIfNegative val="0"/>
          <c:dLbls>
            <c:showLegendKey val="0"/>
            <c:showVal val="1"/>
            <c:showCatName val="0"/>
            <c:showSerName val="0"/>
            <c:showPercent val="0"/>
            <c:showBubbleSize val="0"/>
            <c:showLeaderLines val="0"/>
          </c:dLbls>
          <c:cat>
            <c:strRef>
              <c:f>'Trains accessibilité'!$A$6:$A$32</c:f>
              <c:strCache>
                <c:ptCount val="27"/>
                <c:pt idx="0">
                  <c:v>Pologne</c:v>
                </c:pt>
                <c:pt idx="1">
                  <c:v>Bulgarie</c:v>
                </c:pt>
                <c:pt idx="2">
                  <c:v>Lettonie</c:v>
                </c:pt>
                <c:pt idx="3">
                  <c:v>Grèce</c:v>
                </c:pt>
                <c:pt idx="4">
                  <c:v>Italie</c:v>
                </c:pt>
                <c:pt idx="5">
                  <c:v>Suède</c:v>
                </c:pt>
                <c:pt idx="6">
                  <c:v>Allemagne</c:v>
                </c:pt>
                <c:pt idx="7">
                  <c:v>Estonie</c:v>
                </c:pt>
                <c:pt idx="8">
                  <c:v>F R A N C E</c:v>
                </c:pt>
                <c:pt idx="9">
                  <c:v>Hongrie</c:v>
                </c:pt>
                <c:pt idx="10">
                  <c:v>Croatie</c:v>
                </c:pt>
                <c:pt idx="11">
                  <c:v>Pays-Bas</c:v>
                </c:pt>
                <c:pt idx="12">
                  <c:v>Roumanie</c:v>
                </c:pt>
                <c:pt idx="13">
                  <c:v>Finlande</c:v>
                </c:pt>
                <c:pt idx="14">
                  <c:v>U E 26</c:v>
                </c:pt>
                <c:pt idx="15">
                  <c:v>Rép. Tchèque</c:v>
                </c:pt>
                <c:pt idx="16">
                  <c:v>Slovaquie</c:v>
                </c:pt>
                <c:pt idx="17">
                  <c:v>Belgique</c:v>
                </c:pt>
                <c:pt idx="18">
                  <c:v>Autriche</c:v>
                </c:pt>
                <c:pt idx="19">
                  <c:v>Danemark</c:v>
                </c:pt>
                <c:pt idx="20">
                  <c:v>Lituanie</c:v>
                </c:pt>
                <c:pt idx="21">
                  <c:v>Espagne</c:v>
                </c:pt>
                <c:pt idx="22">
                  <c:v>Slovénie</c:v>
                </c:pt>
                <c:pt idx="23">
                  <c:v>Luxembourg</c:v>
                </c:pt>
                <c:pt idx="24">
                  <c:v>Irlande</c:v>
                </c:pt>
                <c:pt idx="25">
                  <c:v>Portugal</c:v>
                </c:pt>
                <c:pt idx="26">
                  <c:v>Royaume-Uni</c:v>
                </c:pt>
              </c:strCache>
            </c:strRef>
          </c:cat>
          <c:val>
            <c:numRef>
              <c:f>'Trains accessibilité'!$E$6:$E$32</c:f>
              <c:numCache>
                <c:formatCode>General</c:formatCode>
                <c:ptCount val="27"/>
                <c:pt idx="0">
                  <c:v>13.0</c:v>
                </c:pt>
                <c:pt idx="1">
                  <c:v>20.0</c:v>
                </c:pt>
                <c:pt idx="2">
                  <c:v>21.0</c:v>
                </c:pt>
                <c:pt idx="3">
                  <c:v>12.0</c:v>
                </c:pt>
                <c:pt idx="4">
                  <c:v>18.0</c:v>
                </c:pt>
                <c:pt idx="5">
                  <c:v>4.0</c:v>
                </c:pt>
                <c:pt idx="6">
                  <c:v>7.0</c:v>
                </c:pt>
                <c:pt idx="7">
                  <c:v>4.0</c:v>
                </c:pt>
                <c:pt idx="8">
                  <c:v>10.0</c:v>
                </c:pt>
                <c:pt idx="9">
                  <c:v>10.0</c:v>
                </c:pt>
                <c:pt idx="10">
                  <c:v>16.0</c:v>
                </c:pt>
                <c:pt idx="11">
                  <c:v>8.0</c:v>
                </c:pt>
                <c:pt idx="12">
                  <c:v>18.0</c:v>
                </c:pt>
                <c:pt idx="13">
                  <c:v>3.0</c:v>
                </c:pt>
                <c:pt idx="14">
                  <c:v>10.0</c:v>
                </c:pt>
                <c:pt idx="15">
                  <c:v>7.0</c:v>
                </c:pt>
                <c:pt idx="16">
                  <c:v>8.0</c:v>
                </c:pt>
                <c:pt idx="17">
                  <c:v>6.0</c:v>
                </c:pt>
                <c:pt idx="18">
                  <c:v>6.0</c:v>
                </c:pt>
                <c:pt idx="19">
                  <c:v>6.0</c:v>
                </c:pt>
                <c:pt idx="20">
                  <c:v>4.0</c:v>
                </c:pt>
                <c:pt idx="21">
                  <c:v>10.0</c:v>
                </c:pt>
                <c:pt idx="22">
                  <c:v>10.0</c:v>
                </c:pt>
                <c:pt idx="23">
                  <c:v>5.0</c:v>
                </c:pt>
                <c:pt idx="24">
                  <c:v>5.0</c:v>
                </c:pt>
                <c:pt idx="25">
                  <c:v>19.0</c:v>
                </c:pt>
                <c:pt idx="26">
                  <c:v>4.0</c:v>
                </c:pt>
              </c:numCache>
            </c:numRef>
          </c:val>
        </c:ser>
        <c:dLbls>
          <c:showLegendKey val="0"/>
          <c:showVal val="0"/>
          <c:showCatName val="0"/>
          <c:showSerName val="0"/>
          <c:showPercent val="0"/>
          <c:showBubbleSize val="0"/>
        </c:dLbls>
        <c:gapWidth val="150"/>
        <c:overlap val="100"/>
        <c:axId val="-2002856808"/>
        <c:axId val="-2002853640"/>
      </c:barChart>
      <c:catAx>
        <c:axId val="-2002856808"/>
        <c:scaling>
          <c:orientation val="minMax"/>
        </c:scaling>
        <c:delete val="0"/>
        <c:axPos val="b"/>
        <c:majorTickMark val="out"/>
        <c:minorTickMark val="none"/>
        <c:tickLblPos val="nextTo"/>
        <c:txPr>
          <a:bodyPr rot="-5400000" vert="horz"/>
          <a:lstStyle/>
          <a:p>
            <a:pPr>
              <a:defRPr/>
            </a:pPr>
            <a:endParaRPr lang="fr-FR"/>
          </a:p>
        </c:txPr>
        <c:crossAx val="-2002853640"/>
        <c:crosses val="autoZero"/>
        <c:auto val="1"/>
        <c:lblAlgn val="ctr"/>
        <c:lblOffset val="100"/>
        <c:noMultiLvlLbl val="0"/>
      </c:catAx>
      <c:valAx>
        <c:axId val="-2002853640"/>
        <c:scaling>
          <c:orientation val="minMax"/>
          <c:max val="100.0"/>
        </c:scaling>
        <c:delete val="0"/>
        <c:axPos val="l"/>
        <c:majorGridlines/>
        <c:numFmt formatCode="General" sourceLinked="1"/>
        <c:majorTickMark val="out"/>
        <c:minorTickMark val="none"/>
        <c:tickLblPos val="nextTo"/>
        <c:crossAx val="-2002856808"/>
        <c:crosses val="autoZero"/>
        <c:crossBetween val="between"/>
      </c:valAx>
    </c:plotArea>
    <c:legend>
      <c:legendPos val="b"/>
      <c:layout/>
      <c:overlay val="0"/>
    </c:legend>
    <c:plotVisOnly val="1"/>
    <c:dispBlanksAs val="gap"/>
    <c:showDLblsOverMax val="0"/>
  </c:chart>
  <c:spPr>
    <a:ln>
      <a:noFill/>
    </a:ln>
  </c:spPr>
  <c:txPr>
    <a:bodyPr/>
    <a:lstStyle/>
    <a:p>
      <a:pPr>
        <a:defRPr sz="1000"/>
      </a:pPr>
      <a:endParaRPr lang="fr-F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stacked"/>
        <c:varyColors val="0"/>
        <c:ser>
          <c:idx val="5"/>
          <c:order val="0"/>
          <c:tx>
            <c:strRef>
              <c:f>'Trains Indice Satisfaction'!$B$5</c:f>
              <c:strCache>
                <c:ptCount val="1"/>
                <c:pt idx="0">
                  <c:v>Élevé</c:v>
                </c:pt>
              </c:strCache>
            </c:strRef>
          </c:tx>
          <c:invertIfNegative val="0"/>
          <c:dLbls>
            <c:showLegendKey val="0"/>
            <c:showVal val="1"/>
            <c:showCatName val="0"/>
            <c:showSerName val="0"/>
            <c:showPercent val="0"/>
            <c:showBubbleSize val="0"/>
            <c:showLeaderLines val="0"/>
          </c:dLbls>
          <c:cat>
            <c:strRef>
              <c:f>'Trains Indice Satisfaction'!$A$6:$A$32</c:f>
              <c:strCache>
                <c:ptCount val="27"/>
                <c:pt idx="0">
                  <c:v>Estonie</c:v>
                </c:pt>
                <c:pt idx="1">
                  <c:v>Bulgarie</c:v>
                </c:pt>
                <c:pt idx="2">
                  <c:v>Italie</c:v>
                </c:pt>
                <c:pt idx="3">
                  <c:v>Pologne</c:v>
                </c:pt>
                <c:pt idx="4">
                  <c:v>Roumanie</c:v>
                </c:pt>
                <c:pt idx="5">
                  <c:v>Allemagne</c:v>
                </c:pt>
                <c:pt idx="6">
                  <c:v>Croatie</c:v>
                </c:pt>
                <c:pt idx="7">
                  <c:v>Grèce</c:v>
                </c:pt>
                <c:pt idx="8">
                  <c:v>Suède</c:v>
                </c:pt>
                <c:pt idx="9">
                  <c:v>Hongrie</c:v>
                </c:pt>
                <c:pt idx="10">
                  <c:v>Slovaquie</c:v>
                </c:pt>
                <c:pt idx="11">
                  <c:v>Slovénie</c:v>
                </c:pt>
                <c:pt idx="12">
                  <c:v>U E 26</c:v>
                </c:pt>
                <c:pt idx="13">
                  <c:v>Danemark</c:v>
                </c:pt>
                <c:pt idx="14">
                  <c:v>Lituanie</c:v>
                </c:pt>
                <c:pt idx="15">
                  <c:v>Rép. Tchèque</c:v>
                </c:pt>
                <c:pt idx="16">
                  <c:v>Pays-Bas</c:v>
                </c:pt>
                <c:pt idx="17">
                  <c:v>F R A N C E</c:v>
                </c:pt>
                <c:pt idx="18">
                  <c:v>Belgique</c:v>
                </c:pt>
                <c:pt idx="19">
                  <c:v>Lettonie</c:v>
                </c:pt>
                <c:pt idx="20">
                  <c:v>Autriche</c:v>
                </c:pt>
                <c:pt idx="21">
                  <c:v>Portugal</c:v>
                </c:pt>
                <c:pt idx="22">
                  <c:v>Espagne</c:v>
                </c:pt>
                <c:pt idx="23">
                  <c:v>Irlande</c:v>
                </c:pt>
                <c:pt idx="24">
                  <c:v>Luxembourg</c:v>
                </c:pt>
                <c:pt idx="25">
                  <c:v>Finlande</c:v>
                </c:pt>
                <c:pt idx="26">
                  <c:v>Royaume-Uni</c:v>
                </c:pt>
              </c:strCache>
            </c:strRef>
          </c:cat>
          <c:val>
            <c:numRef>
              <c:f>'Trains Indice Satisfaction'!$B$6:$B$32</c:f>
              <c:numCache>
                <c:formatCode>General</c:formatCode>
                <c:ptCount val="27"/>
                <c:pt idx="0">
                  <c:v>7.0</c:v>
                </c:pt>
                <c:pt idx="1">
                  <c:v>8.0</c:v>
                </c:pt>
                <c:pt idx="2">
                  <c:v>10.0</c:v>
                </c:pt>
                <c:pt idx="3">
                  <c:v>11.0</c:v>
                </c:pt>
                <c:pt idx="4">
                  <c:v>13.0</c:v>
                </c:pt>
                <c:pt idx="5">
                  <c:v>16.0</c:v>
                </c:pt>
                <c:pt idx="6">
                  <c:v>16.0</c:v>
                </c:pt>
                <c:pt idx="7">
                  <c:v>17.0</c:v>
                </c:pt>
                <c:pt idx="8">
                  <c:v>18.0</c:v>
                </c:pt>
                <c:pt idx="9">
                  <c:v>19.0</c:v>
                </c:pt>
                <c:pt idx="10">
                  <c:v>19.0</c:v>
                </c:pt>
                <c:pt idx="11">
                  <c:v>21.0</c:v>
                </c:pt>
                <c:pt idx="12">
                  <c:v>23.0</c:v>
                </c:pt>
                <c:pt idx="13">
                  <c:v>23.0</c:v>
                </c:pt>
                <c:pt idx="14">
                  <c:v>23.0</c:v>
                </c:pt>
                <c:pt idx="15">
                  <c:v>26.0</c:v>
                </c:pt>
                <c:pt idx="16">
                  <c:v>26.0</c:v>
                </c:pt>
                <c:pt idx="17">
                  <c:v>27.0</c:v>
                </c:pt>
                <c:pt idx="18">
                  <c:v>28.0</c:v>
                </c:pt>
                <c:pt idx="19">
                  <c:v>28.0</c:v>
                </c:pt>
                <c:pt idx="20">
                  <c:v>29.0</c:v>
                </c:pt>
                <c:pt idx="21">
                  <c:v>31.0</c:v>
                </c:pt>
                <c:pt idx="22">
                  <c:v>34.0</c:v>
                </c:pt>
                <c:pt idx="23">
                  <c:v>36.0</c:v>
                </c:pt>
                <c:pt idx="24">
                  <c:v>38.0</c:v>
                </c:pt>
                <c:pt idx="25">
                  <c:v>41.0</c:v>
                </c:pt>
                <c:pt idx="26">
                  <c:v>44.0</c:v>
                </c:pt>
              </c:numCache>
            </c:numRef>
          </c:val>
        </c:ser>
        <c:ser>
          <c:idx val="0"/>
          <c:order val="1"/>
          <c:tx>
            <c:strRef>
              <c:f>'Trains Indice Satisfaction'!$C$5</c:f>
              <c:strCache>
                <c:ptCount val="1"/>
                <c:pt idx="0">
                  <c:v>Bon</c:v>
                </c:pt>
              </c:strCache>
            </c:strRef>
          </c:tx>
          <c:invertIfNegative val="0"/>
          <c:dLbls>
            <c:showLegendKey val="0"/>
            <c:showVal val="1"/>
            <c:showCatName val="0"/>
            <c:showSerName val="0"/>
            <c:showPercent val="0"/>
            <c:showBubbleSize val="0"/>
            <c:showLeaderLines val="0"/>
          </c:dLbls>
          <c:cat>
            <c:strRef>
              <c:f>'Trains Indice Satisfaction'!$A$6:$A$32</c:f>
              <c:strCache>
                <c:ptCount val="27"/>
                <c:pt idx="0">
                  <c:v>Estonie</c:v>
                </c:pt>
                <c:pt idx="1">
                  <c:v>Bulgarie</c:v>
                </c:pt>
                <c:pt idx="2">
                  <c:v>Italie</c:v>
                </c:pt>
                <c:pt idx="3">
                  <c:v>Pologne</c:v>
                </c:pt>
                <c:pt idx="4">
                  <c:v>Roumanie</c:v>
                </c:pt>
                <c:pt idx="5">
                  <c:v>Allemagne</c:v>
                </c:pt>
                <c:pt idx="6">
                  <c:v>Croatie</c:v>
                </c:pt>
                <c:pt idx="7">
                  <c:v>Grèce</c:v>
                </c:pt>
                <c:pt idx="8">
                  <c:v>Suède</c:v>
                </c:pt>
                <c:pt idx="9">
                  <c:v>Hongrie</c:v>
                </c:pt>
                <c:pt idx="10">
                  <c:v>Slovaquie</c:v>
                </c:pt>
                <c:pt idx="11">
                  <c:v>Slovénie</c:v>
                </c:pt>
                <c:pt idx="12">
                  <c:v>U E 26</c:v>
                </c:pt>
                <c:pt idx="13">
                  <c:v>Danemark</c:v>
                </c:pt>
                <c:pt idx="14">
                  <c:v>Lituanie</c:v>
                </c:pt>
                <c:pt idx="15">
                  <c:v>Rép. Tchèque</c:v>
                </c:pt>
                <c:pt idx="16">
                  <c:v>Pays-Bas</c:v>
                </c:pt>
                <c:pt idx="17">
                  <c:v>F R A N C E</c:v>
                </c:pt>
                <c:pt idx="18">
                  <c:v>Belgique</c:v>
                </c:pt>
                <c:pt idx="19">
                  <c:v>Lettonie</c:v>
                </c:pt>
                <c:pt idx="20">
                  <c:v>Autriche</c:v>
                </c:pt>
                <c:pt idx="21">
                  <c:v>Portugal</c:v>
                </c:pt>
                <c:pt idx="22">
                  <c:v>Espagne</c:v>
                </c:pt>
                <c:pt idx="23">
                  <c:v>Irlande</c:v>
                </c:pt>
                <c:pt idx="24">
                  <c:v>Luxembourg</c:v>
                </c:pt>
                <c:pt idx="25">
                  <c:v>Finlande</c:v>
                </c:pt>
                <c:pt idx="26">
                  <c:v>Royaume-Uni</c:v>
                </c:pt>
              </c:strCache>
            </c:strRef>
          </c:cat>
          <c:val>
            <c:numRef>
              <c:f>'Trains Indice Satisfaction'!$C$6:$C$32</c:f>
              <c:numCache>
                <c:formatCode>General</c:formatCode>
                <c:ptCount val="27"/>
                <c:pt idx="0">
                  <c:v>19.0</c:v>
                </c:pt>
                <c:pt idx="1">
                  <c:v>20.0</c:v>
                </c:pt>
                <c:pt idx="2">
                  <c:v>26.0</c:v>
                </c:pt>
                <c:pt idx="3">
                  <c:v>26.0</c:v>
                </c:pt>
                <c:pt idx="4">
                  <c:v>26.0</c:v>
                </c:pt>
                <c:pt idx="5">
                  <c:v>34.0</c:v>
                </c:pt>
                <c:pt idx="6">
                  <c:v>24.0</c:v>
                </c:pt>
                <c:pt idx="7">
                  <c:v>22.0</c:v>
                </c:pt>
                <c:pt idx="8">
                  <c:v>35.0</c:v>
                </c:pt>
                <c:pt idx="9">
                  <c:v>29.0</c:v>
                </c:pt>
                <c:pt idx="10">
                  <c:v>31.0</c:v>
                </c:pt>
                <c:pt idx="11">
                  <c:v>26.0</c:v>
                </c:pt>
                <c:pt idx="12">
                  <c:v>32.0</c:v>
                </c:pt>
                <c:pt idx="13">
                  <c:v>38.0</c:v>
                </c:pt>
                <c:pt idx="14">
                  <c:v>22.0</c:v>
                </c:pt>
                <c:pt idx="15">
                  <c:v>35.0</c:v>
                </c:pt>
                <c:pt idx="16">
                  <c:v>38.0</c:v>
                </c:pt>
                <c:pt idx="17">
                  <c:v>39.0</c:v>
                </c:pt>
                <c:pt idx="18">
                  <c:v>41.0</c:v>
                </c:pt>
                <c:pt idx="19">
                  <c:v>33.0</c:v>
                </c:pt>
                <c:pt idx="20">
                  <c:v>37.0</c:v>
                </c:pt>
                <c:pt idx="21">
                  <c:v>28.0</c:v>
                </c:pt>
                <c:pt idx="22">
                  <c:v>32.0</c:v>
                </c:pt>
                <c:pt idx="23">
                  <c:v>34.0</c:v>
                </c:pt>
                <c:pt idx="24">
                  <c:v>34.0</c:v>
                </c:pt>
                <c:pt idx="25">
                  <c:v>38.0</c:v>
                </c:pt>
                <c:pt idx="26">
                  <c:v>31.0</c:v>
                </c:pt>
              </c:numCache>
            </c:numRef>
          </c:val>
        </c:ser>
        <c:ser>
          <c:idx val="1"/>
          <c:order val="2"/>
          <c:tx>
            <c:strRef>
              <c:f>'Trains Indice Satisfaction'!$D$5</c:f>
              <c:strCache>
                <c:ptCount val="1"/>
                <c:pt idx="0">
                  <c:v>Moyen</c:v>
                </c:pt>
              </c:strCache>
            </c:strRef>
          </c:tx>
          <c:invertIfNegative val="0"/>
          <c:dLbls>
            <c:showLegendKey val="0"/>
            <c:showVal val="1"/>
            <c:showCatName val="0"/>
            <c:showSerName val="0"/>
            <c:showPercent val="0"/>
            <c:showBubbleSize val="0"/>
            <c:showLeaderLines val="0"/>
          </c:dLbls>
          <c:cat>
            <c:strRef>
              <c:f>'Trains Indice Satisfaction'!$A$6:$A$32</c:f>
              <c:strCache>
                <c:ptCount val="27"/>
                <c:pt idx="0">
                  <c:v>Estonie</c:v>
                </c:pt>
                <c:pt idx="1">
                  <c:v>Bulgarie</c:v>
                </c:pt>
                <c:pt idx="2">
                  <c:v>Italie</c:v>
                </c:pt>
                <c:pt idx="3">
                  <c:v>Pologne</c:v>
                </c:pt>
                <c:pt idx="4">
                  <c:v>Roumanie</c:v>
                </c:pt>
                <c:pt idx="5">
                  <c:v>Allemagne</c:v>
                </c:pt>
                <c:pt idx="6">
                  <c:v>Croatie</c:v>
                </c:pt>
                <c:pt idx="7">
                  <c:v>Grèce</c:v>
                </c:pt>
                <c:pt idx="8">
                  <c:v>Suède</c:v>
                </c:pt>
                <c:pt idx="9">
                  <c:v>Hongrie</c:v>
                </c:pt>
                <c:pt idx="10">
                  <c:v>Slovaquie</c:v>
                </c:pt>
                <c:pt idx="11">
                  <c:v>Slovénie</c:v>
                </c:pt>
                <c:pt idx="12">
                  <c:v>U E 26</c:v>
                </c:pt>
                <c:pt idx="13">
                  <c:v>Danemark</c:v>
                </c:pt>
                <c:pt idx="14">
                  <c:v>Lituanie</c:v>
                </c:pt>
                <c:pt idx="15">
                  <c:v>Rép. Tchèque</c:v>
                </c:pt>
                <c:pt idx="16">
                  <c:v>Pays-Bas</c:v>
                </c:pt>
                <c:pt idx="17">
                  <c:v>F R A N C E</c:v>
                </c:pt>
                <c:pt idx="18">
                  <c:v>Belgique</c:v>
                </c:pt>
                <c:pt idx="19">
                  <c:v>Lettonie</c:v>
                </c:pt>
                <c:pt idx="20">
                  <c:v>Autriche</c:v>
                </c:pt>
                <c:pt idx="21">
                  <c:v>Portugal</c:v>
                </c:pt>
                <c:pt idx="22">
                  <c:v>Espagne</c:v>
                </c:pt>
                <c:pt idx="23">
                  <c:v>Irlande</c:v>
                </c:pt>
                <c:pt idx="24">
                  <c:v>Luxembourg</c:v>
                </c:pt>
                <c:pt idx="25">
                  <c:v>Finlande</c:v>
                </c:pt>
                <c:pt idx="26">
                  <c:v>Royaume-Uni</c:v>
                </c:pt>
              </c:strCache>
            </c:strRef>
          </c:cat>
          <c:val>
            <c:numRef>
              <c:f>'Trains Indice Satisfaction'!$D$6:$D$32</c:f>
              <c:numCache>
                <c:formatCode>General</c:formatCode>
                <c:ptCount val="27"/>
                <c:pt idx="0">
                  <c:v>13.0</c:v>
                </c:pt>
                <c:pt idx="1">
                  <c:v>28.0</c:v>
                </c:pt>
                <c:pt idx="2">
                  <c:v>32.0</c:v>
                </c:pt>
                <c:pt idx="3">
                  <c:v>28.0</c:v>
                </c:pt>
                <c:pt idx="4">
                  <c:v>23.0</c:v>
                </c:pt>
                <c:pt idx="5">
                  <c:v>32.0</c:v>
                </c:pt>
                <c:pt idx="6">
                  <c:v>20.0</c:v>
                </c:pt>
                <c:pt idx="7">
                  <c:v>21.0</c:v>
                </c:pt>
                <c:pt idx="8">
                  <c:v>27.0</c:v>
                </c:pt>
                <c:pt idx="9">
                  <c:v>24.0</c:v>
                </c:pt>
                <c:pt idx="10">
                  <c:v>20.0</c:v>
                </c:pt>
                <c:pt idx="11">
                  <c:v>15.0</c:v>
                </c:pt>
                <c:pt idx="12">
                  <c:v>23.0</c:v>
                </c:pt>
                <c:pt idx="13">
                  <c:v>22.0</c:v>
                </c:pt>
                <c:pt idx="14">
                  <c:v>12.0</c:v>
                </c:pt>
                <c:pt idx="15">
                  <c:v>20.0</c:v>
                </c:pt>
                <c:pt idx="16">
                  <c:v>19.0</c:v>
                </c:pt>
                <c:pt idx="17">
                  <c:v>23.0</c:v>
                </c:pt>
                <c:pt idx="18">
                  <c:v>19.0</c:v>
                </c:pt>
                <c:pt idx="19">
                  <c:v>16.0</c:v>
                </c:pt>
                <c:pt idx="20">
                  <c:v>18.0</c:v>
                </c:pt>
                <c:pt idx="21">
                  <c:v>21.0</c:v>
                </c:pt>
                <c:pt idx="22">
                  <c:v>15.0</c:v>
                </c:pt>
                <c:pt idx="23">
                  <c:v>17.0</c:v>
                </c:pt>
                <c:pt idx="24">
                  <c:v>14.0</c:v>
                </c:pt>
                <c:pt idx="25">
                  <c:v>11.0</c:v>
                </c:pt>
                <c:pt idx="26">
                  <c:v>13.0</c:v>
                </c:pt>
              </c:numCache>
            </c:numRef>
          </c:val>
        </c:ser>
        <c:ser>
          <c:idx val="2"/>
          <c:order val="3"/>
          <c:tx>
            <c:strRef>
              <c:f>'Trains Indice Satisfaction'!$E$5</c:f>
              <c:strCache>
                <c:ptCount val="1"/>
                <c:pt idx="0">
                  <c:v>Faible</c:v>
                </c:pt>
              </c:strCache>
            </c:strRef>
          </c:tx>
          <c:invertIfNegative val="0"/>
          <c:dLbls>
            <c:showLegendKey val="0"/>
            <c:showVal val="1"/>
            <c:showCatName val="0"/>
            <c:showSerName val="0"/>
            <c:showPercent val="0"/>
            <c:showBubbleSize val="0"/>
            <c:showLeaderLines val="0"/>
          </c:dLbls>
          <c:cat>
            <c:strRef>
              <c:f>'Trains Indice Satisfaction'!$A$6:$A$32</c:f>
              <c:strCache>
                <c:ptCount val="27"/>
                <c:pt idx="0">
                  <c:v>Estonie</c:v>
                </c:pt>
                <c:pt idx="1">
                  <c:v>Bulgarie</c:v>
                </c:pt>
                <c:pt idx="2">
                  <c:v>Italie</c:v>
                </c:pt>
                <c:pt idx="3">
                  <c:v>Pologne</c:v>
                </c:pt>
                <c:pt idx="4">
                  <c:v>Roumanie</c:v>
                </c:pt>
                <c:pt idx="5">
                  <c:v>Allemagne</c:v>
                </c:pt>
                <c:pt idx="6">
                  <c:v>Croatie</c:v>
                </c:pt>
                <c:pt idx="7">
                  <c:v>Grèce</c:v>
                </c:pt>
                <c:pt idx="8">
                  <c:v>Suède</c:v>
                </c:pt>
                <c:pt idx="9">
                  <c:v>Hongrie</c:v>
                </c:pt>
                <c:pt idx="10">
                  <c:v>Slovaquie</c:v>
                </c:pt>
                <c:pt idx="11">
                  <c:v>Slovénie</c:v>
                </c:pt>
                <c:pt idx="12">
                  <c:v>U E 26</c:v>
                </c:pt>
                <c:pt idx="13">
                  <c:v>Danemark</c:v>
                </c:pt>
                <c:pt idx="14">
                  <c:v>Lituanie</c:v>
                </c:pt>
                <c:pt idx="15">
                  <c:v>Rép. Tchèque</c:v>
                </c:pt>
                <c:pt idx="16">
                  <c:v>Pays-Bas</c:v>
                </c:pt>
                <c:pt idx="17">
                  <c:v>F R A N C E</c:v>
                </c:pt>
                <c:pt idx="18">
                  <c:v>Belgique</c:v>
                </c:pt>
                <c:pt idx="19">
                  <c:v>Lettonie</c:v>
                </c:pt>
                <c:pt idx="20">
                  <c:v>Autriche</c:v>
                </c:pt>
                <c:pt idx="21">
                  <c:v>Portugal</c:v>
                </c:pt>
                <c:pt idx="22">
                  <c:v>Espagne</c:v>
                </c:pt>
                <c:pt idx="23">
                  <c:v>Irlande</c:v>
                </c:pt>
                <c:pt idx="24">
                  <c:v>Luxembourg</c:v>
                </c:pt>
                <c:pt idx="25">
                  <c:v>Finlande</c:v>
                </c:pt>
                <c:pt idx="26">
                  <c:v>Royaume-Uni</c:v>
                </c:pt>
              </c:strCache>
            </c:strRef>
          </c:cat>
          <c:val>
            <c:numRef>
              <c:f>'Trains Indice Satisfaction'!$E$6:$E$32</c:f>
              <c:numCache>
                <c:formatCode>General</c:formatCode>
                <c:ptCount val="27"/>
                <c:pt idx="0">
                  <c:v>61.0</c:v>
                </c:pt>
                <c:pt idx="1">
                  <c:v>44.0</c:v>
                </c:pt>
                <c:pt idx="2">
                  <c:v>32.0</c:v>
                </c:pt>
                <c:pt idx="3">
                  <c:v>35.0</c:v>
                </c:pt>
                <c:pt idx="4">
                  <c:v>38.0</c:v>
                </c:pt>
                <c:pt idx="5">
                  <c:v>18.0</c:v>
                </c:pt>
                <c:pt idx="6">
                  <c:v>40.0</c:v>
                </c:pt>
                <c:pt idx="7">
                  <c:v>40.0</c:v>
                </c:pt>
                <c:pt idx="8">
                  <c:v>20.0</c:v>
                </c:pt>
                <c:pt idx="9">
                  <c:v>28.0</c:v>
                </c:pt>
                <c:pt idx="10">
                  <c:v>30.0</c:v>
                </c:pt>
                <c:pt idx="11">
                  <c:v>38.0</c:v>
                </c:pt>
                <c:pt idx="12">
                  <c:v>22.0</c:v>
                </c:pt>
                <c:pt idx="13">
                  <c:v>17.0</c:v>
                </c:pt>
                <c:pt idx="14">
                  <c:v>43.0</c:v>
                </c:pt>
                <c:pt idx="15">
                  <c:v>19.0</c:v>
                </c:pt>
                <c:pt idx="16">
                  <c:v>17.0</c:v>
                </c:pt>
                <c:pt idx="17">
                  <c:v>11.0</c:v>
                </c:pt>
                <c:pt idx="18">
                  <c:v>12.0</c:v>
                </c:pt>
                <c:pt idx="19">
                  <c:v>23.0</c:v>
                </c:pt>
                <c:pt idx="20">
                  <c:v>16.0</c:v>
                </c:pt>
                <c:pt idx="21">
                  <c:v>20.0</c:v>
                </c:pt>
                <c:pt idx="22">
                  <c:v>19.0</c:v>
                </c:pt>
                <c:pt idx="23">
                  <c:v>13.0</c:v>
                </c:pt>
                <c:pt idx="24">
                  <c:v>14.0</c:v>
                </c:pt>
                <c:pt idx="25">
                  <c:v>10.0</c:v>
                </c:pt>
                <c:pt idx="26">
                  <c:v>12.0</c:v>
                </c:pt>
              </c:numCache>
            </c:numRef>
          </c:val>
        </c:ser>
        <c:dLbls>
          <c:showLegendKey val="0"/>
          <c:showVal val="0"/>
          <c:showCatName val="0"/>
          <c:showSerName val="0"/>
          <c:showPercent val="0"/>
          <c:showBubbleSize val="0"/>
        </c:dLbls>
        <c:gapWidth val="150"/>
        <c:overlap val="100"/>
        <c:axId val="-1983839448"/>
        <c:axId val="-1983836280"/>
      </c:barChart>
      <c:catAx>
        <c:axId val="-1983839448"/>
        <c:scaling>
          <c:orientation val="minMax"/>
        </c:scaling>
        <c:delete val="0"/>
        <c:axPos val="b"/>
        <c:majorTickMark val="out"/>
        <c:minorTickMark val="none"/>
        <c:tickLblPos val="nextTo"/>
        <c:txPr>
          <a:bodyPr rot="-5400000" vert="horz"/>
          <a:lstStyle/>
          <a:p>
            <a:pPr>
              <a:defRPr/>
            </a:pPr>
            <a:endParaRPr lang="fr-FR"/>
          </a:p>
        </c:txPr>
        <c:crossAx val="-1983836280"/>
        <c:crosses val="autoZero"/>
        <c:auto val="1"/>
        <c:lblAlgn val="ctr"/>
        <c:lblOffset val="100"/>
        <c:noMultiLvlLbl val="0"/>
      </c:catAx>
      <c:valAx>
        <c:axId val="-1983836280"/>
        <c:scaling>
          <c:orientation val="minMax"/>
          <c:max val="100.0"/>
        </c:scaling>
        <c:delete val="0"/>
        <c:axPos val="l"/>
        <c:majorGridlines/>
        <c:numFmt formatCode="General" sourceLinked="1"/>
        <c:majorTickMark val="out"/>
        <c:minorTickMark val="none"/>
        <c:tickLblPos val="nextTo"/>
        <c:crossAx val="-1983839448"/>
        <c:crosses val="autoZero"/>
        <c:crossBetween val="between"/>
      </c:valAx>
    </c:plotArea>
    <c:legend>
      <c:legendPos val="b"/>
      <c:layout/>
      <c:overlay val="0"/>
    </c:legend>
    <c:plotVisOnly val="1"/>
    <c:dispBlanksAs val="gap"/>
    <c:showDLblsOverMax val="0"/>
  </c:chart>
  <c:spPr>
    <a:ln>
      <a:noFill/>
    </a:ln>
  </c:spPr>
  <c:txPr>
    <a:bodyPr/>
    <a:lstStyle/>
    <a:p>
      <a:pPr>
        <a:defRPr sz="1000"/>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stacked"/>
        <c:varyColors val="0"/>
        <c:ser>
          <c:idx val="5"/>
          <c:order val="0"/>
          <c:tx>
            <c:strRef>
              <c:f>'Fréquence Banlieue'!$D$5</c:f>
              <c:strCache>
                <c:ptCount val="1"/>
                <c:pt idx="0">
                  <c:v>Jamais</c:v>
                </c:pt>
              </c:strCache>
            </c:strRef>
          </c:tx>
          <c:invertIfNegative val="0"/>
          <c:dLbls>
            <c:showLegendKey val="0"/>
            <c:showVal val="1"/>
            <c:showCatName val="0"/>
            <c:showSerName val="0"/>
            <c:showPercent val="0"/>
            <c:showBubbleSize val="0"/>
            <c:showLeaderLines val="0"/>
          </c:dLbls>
          <c:cat>
            <c:strRef>
              <c:f>'Fréquence Banlieue'!$C$6:$C$32</c:f>
              <c:strCache>
                <c:ptCount val="27"/>
                <c:pt idx="0">
                  <c:v>Pays-Bas</c:v>
                </c:pt>
                <c:pt idx="1">
                  <c:v>Danemark</c:v>
                </c:pt>
                <c:pt idx="2">
                  <c:v>Allemagne</c:v>
                </c:pt>
                <c:pt idx="3">
                  <c:v>Royaume-Uni</c:v>
                </c:pt>
                <c:pt idx="4">
                  <c:v>Autriche</c:v>
                </c:pt>
                <c:pt idx="5">
                  <c:v>Irlande</c:v>
                </c:pt>
                <c:pt idx="6">
                  <c:v>Finlande</c:v>
                </c:pt>
                <c:pt idx="7">
                  <c:v>Lettonie</c:v>
                </c:pt>
                <c:pt idx="8">
                  <c:v>Suède</c:v>
                </c:pt>
                <c:pt idx="9">
                  <c:v>Espagne</c:v>
                </c:pt>
                <c:pt idx="10">
                  <c:v>U E 26</c:v>
                </c:pt>
                <c:pt idx="11">
                  <c:v>Portugal</c:v>
                </c:pt>
                <c:pt idx="12">
                  <c:v>Rép. Tchèque</c:v>
                </c:pt>
                <c:pt idx="13">
                  <c:v>Belgique</c:v>
                </c:pt>
                <c:pt idx="14">
                  <c:v>Slovénie</c:v>
                </c:pt>
                <c:pt idx="15">
                  <c:v>Slovaquie</c:v>
                </c:pt>
                <c:pt idx="16">
                  <c:v>Italie</c:v>
                </c:pt>
                <c:pt idx="17">
                  <c:v>Luxembourg</c:v>
                </c:pt>
                <c:pt idx="18">
                  <c:v>Pologne</c:v>
                </c:pt>
                <c:pt idx="19">
                  <c:v>Grèce</c:v>
                </c:pt>
                <c:pt idx="20">
                  <c:v>F R A N C E</c:v>
                </c:pt>
                <c:pt idx="21">
                  <c:v>Roumanie</c:v>
                </c:pt>
                <c:pt idx="22">
                  <c:v>Croatie</c:v>
                </c:pt>
                <c:pt idx="23">
                  <c:v>Lituanie</c:v>
                </c:pt>
                <c:pt idx="24">
                  <c:v>Hongrie</c:v>
                </c:pt>
                <c:pt idx="25">
                  <c:v>Bulgarie</c:v>
                </c:pt>
                <c:pt idx="26">
                  <c:v>Estonie</c:v>
                </c:pt>
              </c:strCache>
            </c:strRef>
          </c:cat>
          <c:val>
            <c:numRef>
              <c:f>'Fréquence Banlieue'!$D$6:$D$32</c:f>
              <c:numCache>
                <c:formatCode>General</c:formatCode>
                <c:ptCount val="27"/>
                <c:pt idx="0">
                  <c:v>33.0</c:v>
                </c:pt>
                <c:pt idx="1">
                  <c:v>37.0</c:v>
                </c:pt>
                <c:pt idx="2">
                  <c:v>38.0</c:v>
                </c:pt>
                <c:pt idx="3">
                  <c:v>39.0</c:v>
                </c:pt>
                <c:pt idx="4">
                  <c:v>43.0</c:v>
                </c:pt>
                <c:pt idx="5">
                  <c:v>44.0</c:v>
                </c:pt>
                <c:pt idx="6">
                  <c:v>46.0</c:v>
                </c:pt>
                <c:pt idx="7">
                  <c:v>47.0</c:v>
                </c:pt>
                <c:pt idx="8">
                  <c:v>47.0</c:v>
                </c:pt>
                <c:pt idx="9">
                  <c:v>49.0</c:v>
                </c:pt>
                <c:pt idx="10">
                  <c:v>53.0</c:v>
                </c:pt>
                <c:pt idx="11">
                  <c:v>53.0</c:v>
                </c:pt>
                <c:pt idx="12">
                  <c:v>57.0</c:v>
                </c:pt>
                <c:pt idx="13">
                  <c:v>59.0</c:v>
                </c:pt>
                <c:pt idx="14">
                  <c:v>61.0</c:v>
                </c:pt>
                <c:pt idx="15">
                  <c:v>62.0</c:v>
                </c:pt>
                <c:pt idx="16">
                  <c:v>63.0</c:v>
                </c:pt>
                <c:pt idx="17">
                  <c:v>63.0</c:v>
                </c:pt>
                <c:pt idx="18">
                  <c:v>63.0</c:v>
                </c:pt>
                <c:pt idx="19">
                  <c:v>64.0</c:v>
                </c:pt>
                <c:pt idx="20">
                  <c:v>64.0</c:v>
                </c:pt>
                <c:pt idx="21">
                  <c:v>67.0</c:v>
                </c:pt>
                <c:pt idx="22">
                  <c:v>72.0</c:v>
                </c:pt>
                <c:pt idx="23">
                  <c:v>75.0</c:v>
                </c:pt>
                <c:pt idx="24">
                  <c:v>75.0</c:v>
                </c:pt>
                <c:pt idx="25">
                  <c:v>79.0</c:v>
                </c:pt>
                <c:pt idx="26">
                  <c:v>80.0</c:v>
                </c:pt>
              </c:numCache>
            </c:numRef>
          </c:val>
        </c:ser>
        <c:dLbls>
          <c:showLegendKey val="0"/>
          <c:showVal val="0"/>
          <c:showCatName val="0"/>
          <c:showSerName val="0"/>
          <c:showPercent val="0"/>
          <c:showBubbleSize val="0"/>
        </c:dLbls>
        <c:gapWidth val="150"/>
        <c:overlap val="100"/>
        <c:axId val="-2098135848"/>
        <c:axId val="-2096800696"/>
      </c:barChart>
      <c:catAx>
        <c:axId val="-2098135848"/>
        <c:scaling>
          <c:orientation val="minMax"/>
        </c:scaling>
        <c:delete val="0"/>
        <c:axPos val="b"/>
        <c:majorTickMark val="out"/>
        <c:minorTickMark val="none"/>
        <c:tickLblPos val="nextTo"/>
        <c:txPr>
          <a:bodyPr rot="-5400000" vert="horz"/>
          <a:lstStyle/>
          <a:p>
            <a:pPr>
              <a:defRPr/>
            </a:pPr>
            <a:endParaRPr lang="fr-FR"/>
          </a:p>
        </c:txPr>
        <c:crossAx val="-2096800696"/>
        <c:crosses val="autoZero"/>
        <c:auto val="1"/>
        <c:lblAlgn val="ctr"/>
        <c:lblOffset val="100"/>
        <c:noMultiLvlLbl val="0"/>
      </c:catAx>
      <c:valAx>
        <c:axId val="-2096800696"/>
        <c:scaling>
          <c:orientation val="minMax"/>
          <c:max val="100.0"/>
        </c:scaling>
        <c:delete val="0"/>
        <c:axPos val="l"/>
        <c:majorGridlines/>
        <c:numFmt formatCode="General" sourceLinked="1"/>
        <c:majorTickMark val="out"/>
        <c:minorTickMark val="none"/>
        <c:tickLblPos val="nextTo"/>
        <c:crossAx val="-2098135848"/>
        <c:crosses val="autoZero"/>
        <c:crossBetween val="between"/>
      </c:valAx>
    </c:plotArea>
    <c:plotVisOnly val="1"/>
    <c:dispBlanksAs val="gap"/>
    <c:showDLblsOverMax val="0"/>
  </c:chart>
  <c:spPr>
    <a:ln>
      <a:noFill/>
    </a:ln>
  </c:spPr>
  <c:txPr>
    <a:bodyPr/>
    <a:lstStyle/>
    <a:p>
      <a:pPr>
        <a:defRPr sz="1000"/>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stacked"/>
        <c:varyColors val="0"/>
        <c:ser>
          <c:idx val="5"/>
          <c:order val="0"/>
          <c:tx>
            <c:strRef>
              <c:f>Motifs!$C$5</c:f>
              <c:strCache>
                <c:ptCount val="1"/>
                <c:pt idx="0">
                  <c:v>Vacances, loisirs</c:v>
                </c:pt>
              </c:strCache>
            </c:strRef>
          </c:tx>
          <c:invertIfNegative val="0"/>
          <c:dLbls>
            <c:showLegendKey val="0"/>
            <c:showVal val="1"/>
            <c:showCatName val="0"/>
            <c:showSerName val="0"/>
            <c:showPercent val="0"/>
            <c:showBubbleSize val="0"/>
            <c:showLeaderLines val="0"/>
          </c:dLbls>
          <c:cat>
            <c:strRef>
              <c:f>Motifs!$B$6:$B$32</c:f>
              <c:strCache>
                <c:ptCount val="27"/>
                <c:pt idx="0">
                  <c:v>Hongrie</c:v>
                </c:pt>
                <c:pt idx="1">
                  <c:v>Lettonie</c:v>
                </c:pt>
                <c:pt idx="2">
                  <c:v>Luxembourg</c:v>
                </c:pt>
                <c:pt idx="3">
                  <c:v>Roumanie</c:v>
                </c:pt>
                <c:pt idx="4">
                  <c:v>Danemark</c:v>
                </c:pt>
                <c:pt idx="5">
                  <c:v>Suède</c:v>
                </c:pt>
                <c:pt idx="6">
                  <c:v>Portugal</c:v>
                </c:pt>
                <c:pt idx="7">
                  <c:v>F R A N C E</c:v>
                </c:pt>
                <c:pt idx="8">
                  <c:v>Pologne</c:v>
                </c:pt>
                <c:pt idx="9">
                  <c:v>Croatie</c:v>
                </c:pt>
                <c:pt idx="10">
                  <c:v>Grèce</c:v>
                </c:pt>
                <c:pt idx="11">
                  <c:v>Lituanie</c:v>
                </c:pt>
                <c:pt idx="12">
                  <c:v>U E 26</c:v>
                </c:pt>
                <c:pt idx="13">
                  <c:v>Bulgarie</c:v>
                </c:pt>
                <c:pt idx="14">
                  <c:v>Espagne</c:v>
                </c:pt>
                <c:pt idx="15">
                  <c:v>Slovaquie</c:v>
                </c:pt>
                <c:pt idx="16">
                  <c:v>Royaume-Uni</c:v>
                </c:pt>
                <c:pt idx="17">
                  <c:v>Belgique</c:v>
                </c:pt>
                <c:pt idx="18">
                  <c:v>Allemagne</c:v>
                </c:pt>
                <c:pt idx="19">
                  <c:v>Rép. Tchèque</c:v>
                </c:pt>
                <c:pt idx="20">
                  <c:v>Slovénie</c:v>
                </c:pt>
                <c:pt idx="21">
                  <c:v>Pays-Bas</c:v>
                </c:pt>
                <c:pt idx="22">
                  <c:v>Autriche</c:v>
                </c:pt>
                <c:pt idx="23">
                  <c:v>Italie</c:v>
                </c:pt>
                <c:pt idx="24">
                  <c:v>Estonie</c:v>
                </c:pt>
                <c:pt idx="25">
                  <c:v>Finlande</c:v>
                </c:pt>
                <c:pt idx="26">
                  <c:v>Irlande</c:v>
                </c:pt>
              </c:strCache>
            </c:strRef>
          </c:cat>
          <c:val>
            <c:numRef>
              <c:f>Motifs!$C$6:$C$32</c:f>
              <c:numCache>
                <c:formatCode>General</c:formatCode>
                <c:ptCount val="27"/>
                <c:pt idx="0">
                  <c:v>42.0</c:v>
                </c:pt>
                <c:pt idx="1">
                  <c:v>43.0</c:v>
                </c:pt>
                <c:pt idx="2">
                  <c:v>50.0</c:v>
                </c:pt>
                <c:pt idx="3">
                  <c:v>51.0</c:v>
                </c:pt>
                <c:pt idx="4">
                  <c:v>52.0</c:v>
                </c:pt>
                <c:pt idx="5">
                  <c:v>52.0</c:v>
                </c:pt>
                <c:pt idx="6">
                  <c:v>53.0</c:v>
                </c:pt>
                <c:pt idx="7">
                  <c:v>54.0</c:v>
                </c:pt>
                <c:pt idx="8">
                  <c:v>54.0</c:v>
                </c:pt>
                <c:pt idx="9">
                  <c:v>54.0</c:v>
                </c:pt>
                <c:pt idx="10">
                  <c:v>55.0</c:v>
                </c:pt>
                <c:pt idx="11">
                  <c:v>55.0</c:v>
                </c:pt>
                <c:pt idx="12">
                  <c:v>56.0</c:v>
                </c:pt>
                <c:pt idx="13">
                  <c:v>56.0</c:v>
                </c:pt>
                <c:pt idx="14">
                  <c:v>56.0</c:v>
                </c:pt>
                <c:pt idx="15">
                  <c:v>56.0</c:v>
                </c:pt>
                <c:pt idx="16">
                  <c:v>56.0</c:v>
                </c:pt>
                <c:pt idx="17">
                  <c:v>57.0</c:v>
                </c:pt>
                <c:pt idx="18">
                  <c:v>57.0</c:v>
                </c:pt>
                <c:pt idx="19">
                  <c:v>58.0</c:v>
                </c:pt>
                <c:pt idx="20">
                  <c:v>58.0</c:v>
                </c:pt>
                <c:pt idx="21">
                  <c:v>59.0</c:v>
                </c:pt>
                <c:pt idx="22">
                  <c:v>59.0</c:v>
                </c:pt>
                <c:pt idx="23">
                  <c:v>60.0</c:v>
                </c:pt>
                <c:pt idx="24">
                  <c:v>67.0</c:v>
                </c:pt>
                <c:pt idx="25">
                  <c:v>68.0</c:v>
                </c:pt>
                <c:pt idx="26">
                  <c:v>69.0</c:v>
                </c:pt>
              </c:numCache>
            </c:numRef>
          </c:val>
        </c:ser>
        <c:ser>
          <c:idx val="0"/>
          <c:order val="1"/>
          <c:tx>
            <c:strRef>
              <c:f>Motifs!$D$5</c:f>
              <c:strCache>
                <c:ptCount val="1"/>
                <c:pt idx="0">
                  <c:v>travail/école/université</c:v>
                </c:pt>
              </c:strCache>
            </c:strRef>
          </c:tx>
          <c:invertIfNegative val="0"/>
          <c:dLbls>
            <c:showLegendKey val="0"/>
            <c:showVal val="1"/>
            <c:showCatName val="0"/>
            <c:showSerName val="0"/>
            <c:showPercent val="0"/>
            <c:showBubbleSize val="0"/>
            <c:showLeaderLines val="0"/>
          </c:dLbls>
          <c:cat>
            <c:strRef>
              <c:f>Motifs!$B$6:$B$32</c:f>
              <c:strCache>
                <c:ptCount val="27"/>
                <c:pt idx="0">
                  <c:v>Hongrie</c:v>
                </c:pt>
                <c:pt idx="1">
                  <c:v>Lettonie</c:v>
                </c:pt>
                <c:pt idx="2">
                  <c:v>Luxembourg</c:v>
                </c:pt>
                <c:pt idx="3">
                  <c:v>Roumanie</c:v>
                </c:pt>
                <c:pt idx="4">
                  <c:v>Danemark</c:v>
                </c:pt>
                <c:pt idx="5">
                  <c:v>Suède</c:v>
                </c:pt>
                <c:pt idx="6">
                  <c:v>Portugal</c:v>
                </c:pt>
                <c:pt idx="7">
                  <c:v>F R A N C E</c:v>
                </c:pt>
                <c:pt idx="8">
                  <c:v>Pologne</c:v>
                </c:pt>
                <c:pt idx="9">
                  <c:v>Croatie</c:v>
                </c:pt>
                <c:pt idx="10">
                  <c:v>Grèce</c:v>
                </c:pt>
                <c:pt idx="11">
                  <c:v>Lituanie</c:v>
                </c:pt>
                <c:pt idx="12">
                  <c:v>U E 26</c:v>
                </c:pt>
                <c:pt idx="13">
                  <c:v>Bulgarie</c:v>
                </c:pt>
                <c:pt idx="14">
                  <c:v>Espagne</c:v>
                </c:pt>
                <c:pt idx="15">
                  <c:v>Slovaquie</c:v>
                </c:pt>
                <c:pt idx="16">
                  <c:v>Royaume-Uni</c:v>
                </c:pt>
                <c:pt idx="17">
                  <c:v>Belgique</c:v>
                </c:pt>
                <c:pt idx="18">
                  <c:v>Allemagne</c:v>
                </c:pt>
                <c:pt idx="19">
                  <c:v>Rép. Tchèque</c:v>
                </c:pt>
                <c:pt idx="20">
                  <c:v>Slovénie</c:v>
                </c:pt>
                <c:pt idx="21">
                  <c:v>Pays-Bas</c:v>
                </c:pt>
                <c:pt idx="22">
                  <c:v>Autriche</c:v>
                </c:pt>
                <c:pt idx="23">
                  <c:v>Italie</c:v>
                </c:pt>
                <c:pt idx="24">
                  <c:v>Estonie</c:v>
                </c:pt>
                <c:pt idx="25">
                  <c:v>Finlande</c:v>
                </c:pt>
                <c:pt idx="26">
                  <c:v>Irlande</c:v>
                </c:pt>
              </c:strCache>
            </c:strRef>
          </c:cat>
          <c:val>
            <c:numRef>
              <c:f>Motifs!$D$6:$D$32</c:f>
              <c:numCache>
                <c:formatCode>General</c:formatCode>
                <c:ptCount val="27"/>
                <c:pt idx="0">
                  <c:v>21.0</c:v>
                </c:pt>
                <c:pt idx="1">
                  <c:v>11.0</c:v>
                </c:pt>
                <c:pt idx="2">
                  <c:v>24.0</c:v>
                </c:pt>
                <c:pt idx="3">
                  <c:v>10.0</c:v>
                </c:pt>
                <c:pt idx="4">
                  <c:v>19.0</c:v>
                </c:pt>
                <c:pt idx="5">
                  <c:v>17.0</c:v>
                </c:pt>
                <c:pt idx="6">
                  <c:v>22.0</c:v>
                </c:pt>
                <c:pt idx="7">
                  <c:v>17.0</c:v>
                </c:pt>
                <c:pt idx="8">
                  <c:v>11.0</c:v>
                </c:pt>
                <c:pt idx="9">
                  <c:v>16.0</c:v>
                </c:pt>
                <c:pt idx="10">
                  <c:v>14.0</c:v>
                </c:pt>
                <c:pt idx="11">
                  <c:v>8.0</c:v>
                </c:pt>
                <c:pt idx="12">
                  <c:v>16.0</c:v>
                </c:pt>
                <c:pt idx="13">
                  <c:v>12.0</c:v>
                </c:pt>
                <c:pt idx="14">
                  <c:v>19.0</c:v>
                </c:pt>
                <c:pt idx="15">
                  <c:v>20.0</c:v>
                </c:pt>
                <c:pt idx="16">
                  <c:v>16.0</c:v>
                </c:pt>
                <c:pt idx="17">
                  <c:v>30.0</c:v>
                </c:pt>
                <c:pt idx="18">
                  <c:v>16.0</c:v>
                </c:pt>
                <c:pt idx="19">
                  <c:v>15.0</c:v>
                </c:pt>
                <c:pt idx="20">
                  <c:v>21.0</c:v>
                </c:pt>
                <c:pt idx="21">
                  <c:v>26.0</c:v>
                </c:pt>
                <c:pt idx="22">
                  <c:v>17.0</c:v>
                </c:pt>
                <c:pt idx="23">
                  <c:v>10.0</c:v>
                </c:pt>
                <c:pt idx="24">
                  <c:v>12.0</c:v>
                </c:pt>
                <c:pt idx="25">
                  <c:v>14.0</c:v>
                </c:pt>
                <c:pt idx="26">
                  <c:v>11.0</c:v>
                </c:pt>
              </c:numCache>
            </c:numRef>
          </c:val>
        </c:ser>
        <c:ser>
          <c:idx val="1"/>
          <c:order val="2"/>
          <c:tx>
            <c:strRef>
              <c:f>Motifs!$E$5</c:f>
              <c:strCache>
                <c:ptCount val="1"/>
                <c:pt idx="0">
                  <c:v>Affaires</c:v>
                </c:pt>
              </c:strCache>
            </c:strRef>
          </c:tx>
          <c:invertIfNegative val="0"/>
          <c:dLbls>
            <c:showLegendKey val="0"/>
            <c:showVal val="1"/>
            <c:showCatName val="0"/>
            <c:showSerName val="0"/>
            <c:showPercent val="0"/>
            <c:showBubbleSize val="0"/>
            <c:showLeaderLines val="0"/>
          </c:dLbls>
          <c:cat>
            <c:strRef>
              <c:f>Motifs!$B$6:$B$32</c:f>
              <c:strCache>
                <c:ptCount val="27"/>
                <c:pt idx="0">
                  <c:v>Hongrie</c:v>
                </c:pt>
                <c:pt idx="1">
                  <c:v>Lettonie</c:v>
                </c:pt>
                <c:pt idx="2">
                  <c:v>Luxembourg</c:v>
                </c:pt>
                <c:pt idx="3">
                  <c:v>Roumanie</c:v>
                </c:pt>
                <c:pt idx="4">
                  <c:v>Danemark</c:v>
                </c:pt>
                <c:pt idx="5">
                  <c:v>Suède</c:v>
                </c:pt>
                <c:pt idx="6">
                  <c:v>Portugal</c:v>
                </c:pt>
                <c:pt idx="7">
                  <c:v>F R A N C E</c:v>
                </c:pt>
                <c:pt idx="8">
                  <c:v>Pologne</c:v>
                </c:pt>
                <c:pt idx="9">
                  <c:v>Croatie</c:v>
                </c:pt>
                <c:pt idx="10">
                  <c:v>Grèce</c:v>
                </c:pt>
                <c:pt idx="11">
                  <c:v>Lituanie</c:v>
                </c:pt>
                <c:pt idx="12">
                  <c:v>U E 26</c:v>
                </c:pt>
                <c:pt idx="13">
                  <c:v>Bulgarie</c:v>
                </c:pt>
                <c:pt idx="14">
                  <c:v>Espagne</c:v>
                </c:pt>
                <c:pt idx="15">
                  <c:v>Slovaquie</c:v>
                </c:pt>
                <c:pt idx="16">
                  <c:v>Royaume-Uni</c:v>
                </c:pt>
                <c:pt idx="17">
                  <c:v>Belgique</c:v>
                </c:pt>
                <c:pt idx="18">
                  <c:v>Allemagne</c:v>
                </c:pt>
                <c:pt idx="19">
                  <c:v>Rép. Tchèque</c:v>
                </c:pt>
                <c:pt idx="20">
                  <c:v>Slovénie</c:v>
                </c:pt>
                <c:pt idx="21">
                  <c:v>Pays-Bas</c:v>
                </c:pt>
                <c:pt idx="22">
                  <c:v>Autriche</c:v>
                </c:pt>
                <c:pt idx="23">
                  <c:v>Italie</c:v>
                </c:pt>
                <c:pt idx="24">
                  <c:v>Estonie</c:v>
                </c:pt>
                <c:pt idx="25">
                  <c:v>Finlande</c:v>
                </c:pt>
                <c:pt idx="26">
                  <c:v>Irlande</c:v>
                </c:pt>
              </c:strCache>
            </c:strRef>
          </c:cat>
          <c:val>
            <c:numRef>
              <c:f>Motifs!$E$6:$E$32</c:f>
              <c:numCache>
                <c:formatCode>General</c:formatCode>
                <c:ptCount val="27"/>
                <c:pt idx="0">
                  <c:v>2.0</c:v>
                </c:pt>
                <c:pt idx="1">
                  <c:v>11.0</c:v>
                </c:pt>
                <c:pt idx="2">
                  <c:v>4.0</c:v>
                </c:pt>
                <c:pt idx="3">
                  <c:v>8.0</c:v>
                </c:pt>
                <c:pt idx="4">
                  <c:v>7.0</c:v>
                </c:pt>
                <c:pt idx="5">
                  <c:v>16.0</c:v>
                </c:pt>
                <c:pt idx="6">
                  <c:v>5.0</c:v>
                </c:pt>
                <c:pt idx="7">
                  <c:v>5.0</c:v>
                </c:pt>
                <c:pt idx="8">
                  <c:v>13.0</c:v>
                </c:pt>
                <c:pt idx="9">
                  <c:v>9.0</c:v>
                </c:pt>
                <c:pt idx="10">
                  <c:v>13.0</c:v>
                </c:pt>
                <c:pt idx="11">
                  <c:v>4.0</c:v>
                </c:pt>
                <c:pt idx="12">
                  <c:v>8.0</c:v>
                </c:pt>
                <c:pt idx="13">
                  <c:v>8.0</c:v>
                </c:pt>
                <c:pt idx="14">
                  <c:v>5.0</c:v>
                </c:pt>
                <c:pt idx="15">
                  <c:v>5.0</c:v>
                </c:pt>
                <c:pt idx="16">
                  <c:v>9.0</c:v>
                </c:pt>
                <c:pt idx="17">
                  <c:v>2.0</c:v>
                </c:pt>
                <c:pt idx="18">
                  <c:v>9.0</c:v>
                </c:pt>
                <c:pt idx="19">
                  <c:v>6.0</c:v>
                </c:pt>
                <c:pt idx="20">
                  <c:v>8.0</c:v>
                </c:pt>
                <c:pt idx="21">
                  <c:v>6.0</c:v>
                </c:pt>
                <c:pt idx="22">
                  <c:v>9.0</c:v>
                </c:pt>
                <c:pt idx="23">
                  <c:v>12.0</c:v>
                </c:pt>
                <c:pt idx="24">
                  <c:v>3.0</c:v>
                </c:pt>
                <c:pt idx="25">
                  <c:v>6.0</c:v>
                </c:pt>
                <c:pt idx="26">
                  <c:v>7.0</c:v>
                </c:pt>
              </c:numCache>
            </c:numRef>
          </c:val>
        </c:ser>
        <c:ser>
          <c:idx val="2"/>
          <c:order val="3"/>
          <c:tx>
            <c:strRef>
              <c:f>Motifs!$F$5</c:f>
              <c:strCache>
                <c:ptCount val="1"/>
                <c:pt idx="0">
                  <c:v>Autre raison</c:v>
                </c:pt>
              </c:strCache>
            </c:strRef>
          </c:tx>
          <c:invertIfNegative val="0"/>
          <c:dLbls>
            <c:showLegendKey val="0"/>
            <c:showVal val="1"/>
            <c:showCatName val="0"/>
            <c:showSerName val="0"/>
            <c:showPercent val="0"/>
            <c:showBubbleSize val="0"/>
            <c:showLeaderLines val="0"/>
          </c:dLbls>
          <c:cat>
            <c:strRef>
              <c:f>Motifs!$B$6:$B$32</c:f>
              <c:strCache>
                <c:ptCount val="27"/>
                <c:pt idx="0">
                  <c:v>Hongrie</c:v>
                </c:pt>
                <c:pt idx="1">
                  <c:v>Lettonie</c:v>
                </c:pt>
                <c:pt idx="2">
                  <c:v>Luxembourg</c:v>
                </c:pt>
                <c:pt idx="3">
                  <c:v>Roumanie</c:v>
                </c:pt>
                <c:pt idx="4">
                  <c:v>Danemark</c:v>
                </c:pt>
                <c:pt idx="5">
                  <c:v>Suède</c:v>
                </c:pt>
                <c:pt idx="6">
                  <c:v>Portugal</c:v>
                </c:pt>
                <c:pt idx="7">
                  <c:v>F R A N C E</c:v>
                </c:pt>
                <c:pt idx="8">
                  <c:v>Pologne</c:v>
                </c:pt>
                <c:pt idx="9">
                  <c:v>Croatie</c:v>
                </c:pt>
                <c:pt idx="10">
                  <c:v>Grèce</c:v>
                </c:pt>
                <c:pt idx="11">
                  <c:v>Lituanie</c:v>
                </c:pt>
                <c:pt idx="12">
                  <c:v>U E 26</c:v>
                </c:pt>
                <c:pt idx="13">
                  <c:v>Bulgarie</c:v>
                </c:pt>
                <c:pt idx="14">
                  <c:v>Espagne</c:v>
                </c:pt>
                <c:pt idx="15">
                  <c:v>Slovaquie</c:v>
                </c:pt>
                <c:pt idx="16">
                  <c:v>Royaume-Uni</c:v>
                </c:pt>
                <c:pt idx="17">
                  <c:v>Belgique</c:v>
                </c:pt>
                <c:pt idx="18">
                  <c:v>Allemagne</c:v>
                </c:pt>
                <c:pt idx="19">
                  <c:v>Rép. Tchèque</c:v>
                </c:pt>
                <c:pt idx="20">
                  <c:v>Slovénie</c:v>
                </c:pt>
                <c:pt idx="21">
                  <c:v>Pays-Bas</c:v>
                </c:pt>
                <c:pt idx="22">
                  <c:v>Autriche</c:v>
                </c:pt>
                <c:pt idx="23">
                  <c:v>Italie</c:v>
                </c:pt>
                <c:pt idx="24">
                  <c:v>Estonie</c:v>
                </c:pt>
                <c:pt idx="25">
                  <c:v>Finlande</c:v>
                </c:pt>
                <c:pt idx="26">
                  <c:v>Irlande</c:v>
                </c:pt>
              </c:strCache>
            </c:strRef>
          </c:cat>
          <c:val>
            <c:numRef>
              <c:f>Motifs!$F$6:$F$32</c:f>
              <c:numCache>
                <c:formatCode>General</c:formatCode>
                <c:ptCount val="27"/>
                <c:pt idx="0">
                  <c:v>33.0</c:v>
                </c:pt>
                <c:pt idx="1">
                  <c:v>31.0</c:v>
                </c:pt>
                <c:pt idx="2">
                  <c:v>21.0</c:v>
                </c:pt>
                <c:pt idx="3">
                  <c:v>29.0</c:v>
                </c:pt>
                <c:pt idx="4">
                  <c:v>21.0</c:v>
                </c:pt>
                <c:pt idx="5">
                  <c:v>13.0</c:v>
                </c:pt>
                <c:pt idx="6">
                  <c:v>20.0</c:v>
                </c:pt>
                <c:pt idx="7">
                  <c:v>23.0</c:v>
                </c:pt>
                <c:pt idx="8">
                  <c:v>20.0</c:v>
                </c:pt>
                <c:pt idx="9">
                  <c:v>18.0</c:v>
                </c:pt>
                <c:pt idx="10">
                  <c:v>17.0</c:v>
                </c:pt>
                <c:pt idx="11">
                  <c:v>26.0</c:v>
                </c:pt>
                <c:pt idx="12">
                  <c:v>18.0</c:v>
                </c:pt>
                <c:pt idx="13">
                  <c:v>21.0</c:v>
                </c:pt>
                <c:pt idx="14">
                  <c:v>20.0</c:v>
                </c:pt>
                <c:pt idx="15">
                  <c:v>16.0</c:v>
                </c:pt>
                <c:pt idx="16">
                  <c:v>18.0</c:v>
                </c:pt>
                <c:pt idx="17">
                  <c:v>10.0</c:v>
                </c:pt>
                <c:pt idx="18">
                  <c:v>17.0</c:v>
                </c:pt>
                <c:pt idx="19">
                  <c:v>19.0</c:v>
                </c:pt>
                <c:pt idx="20">
                  <c:v>10.0</c:v>
                </c:pt>
                <c:pt idx="21">
                  <c:v>9.0</c:v>
                </c:pt>
                <c:pt idx="22">
                  <c:v>14.0</c:v>
                </c:pt>
                <c:pt idx="23">
                  <c:v>16.0</c:v>
                </c:pt>
                <c:pt idx="24">
                  <c:v>13.0</c:v>
                </c:pt>
                <c:pt idx="25">
                  <c:v>9.0</c:v>
                </c:pt>
                <c:pt idx="26">
                  <c:v>11.0</c:v>
                </c:pt>
              </c:numCache>
            </c:numRef>
          </c:val>
        </c:ser>
        <c:dLbls>
          <c:showLegendKey val="0"/>
          <c:showVal val="0"/>
          <c:showCatName val="0"/>
          <c:showSerName val="0"/>
          <c:showPercent val="0"/>
          <c:showBubbleSize val="0"/>
        </c:dLbls>
        <c:gapWidth val="150"/>
        <c:overlap val="100"/>
        <c:axId val="2110765304"/>
        <c:axId val="-2087831176"/>
      </c:barChart>
      <c:catAx>
        <c:axId val="2110765304"/>
        <c:scaling>
          <c:orientation val="minMax"/>
        </c:scaling>
        <c:delete val="0"/>
        <c:axPos val="b"/>
        <c:majorTickMark val="out"/>
        <c:minorTickMark val="none"/>
        <c:tickLblPos val="nextTo"/>
        <c:txPr>
          <a:bodyPr rot="-5400000" vert="horz"/>
          <a:lstStyle/>
          <a:p>
            <a:pPr>
              <a:defRPr/>
            </a:pPr>
            <a:endParaRPr lang="fr-FR"/>
          </a:p>
        </c:txPr>
        <c:crossAx val="-2087831176"/>
        <c:crosses val="autoZero"/>
        <c:auto val="1"/>
        <c:lblAlgn val="ctr"/>
        <c:lblOffset val="100"/>
        <c:noMultiLvlLbl val="0"/>
      </c:catAx>
      <c:valAx>
        <c:axId val="-2087831176"/>
        <c:scaling>
          <c:orientation val="minMax"/>
          <c:max val="100.0"/>
        </c:scaling>
        <c:delete val="0"/>
        <c:axPos val="l"/>
        <c:majorGridlines/>
        <c:numFmt formatCode="General" sourceLinked="1"/>
        <c:majorTickMark val="out"/>
        <c:minorTickMark val="none"/>
        <c:tickLblPos val="nextTo"/>
        <c:crossAx val="2110765304"/>
        <c:crosses val="autoZero"/>
        <c:crossBetween val="between"/>
      </c:valAx>
    </c:plotArea>
    <c:legend>
      <c:legendPos val="b"/>
      <c:layout>
        <c:manualLayout>
          <c:xMode val="edge"/>
          <c:yMode val="edge"/>
          <c:x val="0.0486005499312586"/>
          <c:y val="0.876818821560348"/>
          <c:w val="0.85041794775653"/>
          <c:h val="0.103857506942067"/>
        </c:manualLayout>
      </c:layout>
      <c:overlay val="0"/>
    </c:legend>
    <c:plotVisOnly val="1"/>
    <c:dispBlanksAs val="gap"/>
    <c:showDLblsOverMax val="0"/>
  </c:chart>
  <c:spPr>
    <a:ln>
      <a:noFill/>
    </a:ln>
  </c:spPr>
  <c:txPr>
    <a:bodyPr/>
    <a:lstStyle/>
    <a:p>
      <a:pPr>
        <a:defRPr sz="1000"/>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stacked"/>
        <c:varyColors val="0"/>
        <c:ser>
          <c:idx val="5"/>
          <c:order val="0"/>
          <c:tx>
            <c:strRef>
              <c:f>'Distance gare'!$B$4</c:f>
              <c:strCache>
                <c:ptCount val="1"/>
                <c:pt idx="0">
                  <c:v>Moins de 10 minutes</c:v>
                </c:pt>
              </c:strCache>
            </c:strRef>
          </c:tx>
          <c:invertIfNegative val="0"/>
          <c:dLbls>
            <c:showLegendKey val="0"/>
            <c:showVal val="1"/>
            <c:showCatName val="0"/>
            <c:showSerName val="0"/>
            <c:showPercent val="0"/>
            <c:showBubbleSize val="0"/>
            <c:showLeaderLines val="0"/>
          </c:dLbls>
          <c:cat>
            <c:strRef>
              <c:f>'Distance gare'!$A$5:$A$31</c:f>
              <c:strCache>
                <c:ptCount val="27"/>
                <c:pt idx="0">
                  <c:v>Lituanie</c:v>
                </c:pt>
                <c:pt idx="1">
                  <c:v>Estonie</c:v>
                </c:pt>
                <c:pt idx="2">
                  <c:v>Lettonie</c:v>
                </c:pt>
                <c:pt idx="3">
                  <c:v>Roumanie</c:v>
                </c:pt>
                <c:pt idx="4">
                  <c:v>Pologne</c:v>
                </c:pt>
                <c:pt idx="5">
                  <c:v>Finlande</c:v>
                </c:pt>
                <c:pt idx="6">
                  <c:v>Bulgarie</c:v>
                </c:pt>
                <c:pt idx="7">
                  <c:v>Hongrie</c:v>
                </c:pt>
                <c:pt idx="8">
                  <c:v>Irlande</c:v>
                </c:pt>
                <c:pt idx="9">
                  <c:v>Portugal</c:v>
                </c:pt>
                <c:pt idx="10">
                  <c:v>Slovénie</c:v>
                </c:pt>
                <c:pt idx="11">
                  <c:v>Croatie</c:v>
                </c:pt>
                <c:pt idx="12">
                  <c:v>Rép. Tchèque</c:v>
                </c:pt>
                <c:pt idx="13">
                  <c:v>Grèce</c:v>
                </c:pt>
                <c:pt idx="14">
                  <c:v>U E 26</c:v>
                </c:pt>
                <c:pt idx="15">
                  <c:v>Allemagne</c:v>
                </c:pt>
                <c:pt idx="16">
                  <c:v>F R A N C E</c:v>
                </c:pt>
                <c:pt idx="17">
                  <c:v>Slovaquie</c:v>
                </c:pt>
                <c:pt idx="18">
                  <c:v>Espagne</c:v>
                </c:pt>
                <c:pt idx="19">
                  <c:v>Suède</c:v>
                </c:pt>
                <c:pt idx="20">
                  <c:v>Italie</c:v>
                </c:pt>
                <c:pt idx="21">
                  <c:v>Royaume-Uni</c:v>
                </c:pt>
                <c:pt idx="22">
                  <c:v>Belgique</c:v>
                </c:pt>
                <c:pt idx="23">
                  <c:v>Autriche</c:v>
                </c:pt>
                <c:pt idx="24">
                  <c:v>Pays-Bas</c:v>
                </c:pt>
                <c:pt idx="25">
                  <c:v>Danemark</c:v>
                </c:pt>
                <c:pt idx="26">
                  <c:v>Luxembourg</c:v>
                </c:pt>
              </c:strCache>
            </c:strRef>
          </c:cat>
          <c:val>
            <c:numRef>
              <c:f>'Distance gare'!$B$5:$B$31</c:f>
              <c:numCache>
                <c:formatCode>General</c:formatCode>
                <c:ptCount val="27"/>
                <c:pt idx="0">
                  <c:v>15.0</c:v>
                </c:pt>
                <c:pt idx="1">
                  <c:v>16.0</c:v>
                </c:pt>
                <c:pt idx="2">
                  <c:v>18.0</c:v>
                </c:pt>
                <c:pt idx="3">
                  <c:v>19.0</c:v>
                </c:pt>
                <c:pt idx="4">
                  <c:v>21.0</c:v>
                </c:pt>
                <c:pt idx="5">
                  <c:v>22.0</c:v>
                </c:pt>
                <c:pt idx="6">
                  <c:v>23.0</c:v>
                </c:pt>
                <c:pt idx="7">
                  <c:v>24.0</c:v>
                </c:pt>
                <c:pt idx="8">
                  <c:v>25.0</c:v>
                </c:pt>
                <c:pt idx="9">
                  <c:v>27.0</c:v>
                </c:pt>
                <c:pt idx="10">
                  <c:v>27.0</c:v>
                </c:pt>
                <c:pt idx="11">
                  <c:v>27.0</c:v>
                </c:pt>
                <c:pt idx="12">
                  <c:v>29.0</c:v>
                </c:pt>
                <c:pt idx="13">
                  <c:v>29.0</c:v>
                </c:pt>
                <c:pt idx="14">
                  <c:v>31.0</c:v>
                </c:pt>
                <c:pt idx="15">
                  <c:v>31.0</c:v>
                </c:pt>
                <c:pt idx="16">
                  <c:v>31.0</c:v>
                </c:pt>
                <c:pt idx="17">
                  <c:v>32.0</c:v>
                </c:pt>
                <c:pt idx="18">
                  <c:v>35.0</c:v>
                </c:pt>
                <c:pt idx="19">
                  <c:v>35.0</c:v>
                </c:pt>
                <c:pt idx="20">
                  <c:v>36.0</c:v>
                </c:pt>
                <c:pt idx="21">
                  <c:v>37.0</c:v>
                </c:pt>
                <c:pt idx="22">
                  <c:v>38.0</c:v>
                </c:pt>
                <c:pt idx="23">
                  <c:v>38.0</c:v>
                </c:pt>
                <c:pt idx="24">
                  <c:v>40.0</c:v>
                </c:pt>
                <c:pt idx="25">
                  <c:v>41.0</c:v>
                </c:pt>
                <c:pt idx="26">
                  <c:v>43.0</c:v>
                </c:pt>
              </c:numCache>
            </c:numRef>
          </c:val>
        </c:ser>
        <c:ser>
          <c:idx val="0"/>
          <c:order val="1"/>
          <c:tx>
            <c:strRef>
              <c:f>'Distance gare'!$C$4</c:f>
              <c:strCache>
                <c:ptCount val="1"/>
                <c:pt idx="0">
                  <c:v>De 10 à 30 minutes</c:v>
                </c:pt>
              </c:strCache>
            </c:strRef>
          </c:tx>
          <c:invertIfNegative val="0"/>
          <c:dLbls>
            <c:showLegendKey val="0"/>
            <c:showVal val="1"/>
            <c:showCatName val="0"/>
            <c:showSerName val="0"/>
            <c:showPercent val="0"/>
            <c:showBubbleSize val="0"/>
            <c:showLeaderLines val="0"/>
          </c:dLbls>
          <c:cat>
            <c:strRef>
              <c:f>'Distance gare'!$A$5:$A$31</c:f>
              <c:strCache>
                <c:ptCount val="27"/>
                <c:pt idx="0">
                  <c:v>Lituanie</c:v>
                </c:pt>
                <c:pt idx="1">
                  <c:v>Estonie</c:v>
                </c:pt>
                <c:pt idx="2">
                  <c:v>Lettonie</c:v>
                </c:pt>
                <c:pt idx="3">
                  <c:v>Roumanie</c:v>
                </c:pt>
                <c:pt idx="4">
                  <c:v>Pologne</c:v>
                </c:pt>
                <c:pt idx="5">
                  <c:v>Finlande</c:v>
                </c:pt>
                <c:pt idx="6">
                  <c:v>Bulgarie</c:v>
                </c:pt>
                <c:pt idx="7">
                  <c:v>Hongrie</c:v>
                </c:pt>
                <c:pt idx="8">
                  <c:v>Irlande</c:v>
                </c:pt>
                <c:pt idx="9">
                  <c:v>Portugal</c:v>
                </c:pt>
                <c:pt idx="10">
                  <c:v>Slovénie</c:v>
                </c:pt>
                <c:pt idx="11">
                  <c:v>Croatie</c:v>
                </c:pt>
                <c:pt idx="12">
                  <c:v>Rép. Tchèque</c:v>
                </c:pt>
                <c:pt idx="13">
                  <c:v>Grèce</c:v>
                </c:pt>
                <c:pt idx="14">
                  <c:v>U E 26</c:v>
                </c:pt>
                <c:pt idx="15">
                  <c:v>Allemagne</c:v>
                </c:pt>
                <c:pt idx="16">
                  <c:v>F R A N C E</c:v>
                </c:pt>
                <c:pt idx="17">
                  <c:v>Slovaquie</c:v>
                </c:pt>
                <c:pt idx="18">
                  <c:v>Espagne</c:v>
                </c:pt>
                <c:pt idx="19">
                  <c:v>Suède</c:v>
                </c:pt>
                <c:pt idx="20">
                  <c:v>Italie</c:v>
                </c:pt>
                <c:pt idx="21">
                  <c:v>Royaume-Uni</c:v>
                </c:pt>
                <c:pt idx="22">
                  <c:v>Belgique</c:v>
                </c:pt>
                <c:pt idx="23">
                  <c:v>Autriche</c:v>
                </c:pt>
                <c:pt idx="24">
                  <c:v>Pays-Bas</c:v>
                </c:pt>
                <c:pt idx="25">
                  <c:v>Danemark</c:v>
                </c:pt>
                <c:pt idx="26">
                  <c:v>Luxembourg</c:v>
                </c:pt>
              </c:strCache>
            </c:strRef>
          </c:cat>
          <c:val>
            <c:numRef>
              <c:f>'Distance gare'!$C$5:$C$31</c:f>
              <c:numCache>
                <c:formatCode>General</c:formatCode>
                <c:ptCount val="27"/>
                <c:pt idx="0">
                  <c:v>46.0</c:v>
                </c:pt>
                <c:pt idx="1">
                  <c:v>50.0</c:v>
                </c:pt>
                <c:pt idx="2">
                  <c:v>43.0</c:v>
                </c:pt>
                <c:pt idx="3">
                  <c:v>55.0</c:v>
                </c:pt>
                <c:pt idx="4">
                  <c:v>57.0</c:v>
                </c:pt>
                <c:pt idx="5">
                  <c:v>53.0</c:v>
                </c:pt>
                <c:pt idx="6">
                  <c:v>51.0</c:v>
                </c:pt>
                <c:pt idx="7">
                  <c:v>54.0</c:v>
                </c:pt>
                <c:pt idx="8">
                  <c:v>45.0</c:v>
                </c:pt>
                <c:pt idx="9">
                  <c:v>51.0</c:v>
                </c:pt>
                <c:pt idx="10">
                  <c:v>46.0</c:v>
                </c:pt>
                <c:pt idx="11">
                  <c:v>49.0</c:v>
                </c:pt>
                <c:pt idx="12">
                  <c:v>60.0</c:v>
                </c:pt>
                <c:pt idx="13">
                  <c:v>36.0</c:v>
                </c:pt>
                <c:pt idx="14">
                  <c:v>52.0</c:v>
                </c:pt>
                <c:pt idx="15">
                  <c:v>54.0</c:v>
                </c:pt>
                <c:pt idx="16">
                  <c:v>56.0</c:v>
                </c:pt>
                <c:pt idx="17">
                  <c:v>51.0</c:v>
                </c:pt>
                <c:pt idx="18">
                  <c:v>46.0</c:v>
                </c:pt>
                <c:pt idx="19">
                  <c:v>53.0</c:v>
                </c:pt>
                <c:pt idx="20">
                  <c:v>49.0</c:v>
                </c:pt>
                <c:pt idx="21">
                  <c:v>50.0</c:v>
                </c:pt>
                <c:pt idx="22">
                  <c:v>51.0</c:v>
                </c:pt>
                <c:pt idx="23">
                  <c:v>49.0</c:v>
                </c:pt>
                <c:pt idx="24">
                  <c:v>50.0</c:v>
                </c:pt>
                <c:pt idx="25">
                  <c:v>48.0</c:v>
                </c:pt>
                <c:pt idx="26">
                  <c:v>46.0</c:v>
                </c:pt>
              </c:numCache>
            </c:numRef>
          </c:val>
        </c:ser>
        <c:ser>
          <c:idx val="1"/>
          <c:order val="2"/>
          <c:tx>
            <c:strRef>
              <c:f>'Distance gare'!$D$4</c:f>
              <c:strCache>
                <c:ptCount val="1"/>
                <c:pt idx="0">
                  <c:v>De plus de 30 minutes à une heure</c:v>
                </c:pt>
              </c:strCache>
            </c:strRef>
          </c:tx>
          <c:invertIfNegative val="0"/>
          <c:dLbls>
            <c:showLegendKey val="0"/>
            <c:showVal val="1"/>
            <c:showCatName val="0"/>
            <c:showSerName val="0"/>
            <c:showPercent val="0"/>
            <c:showBubbleSize val="0"/>
            <c:showLeaderLines val="0"/>
          </c:dLbls>
          <c:cat>
            <c:strRef>
              <c:f>'Distance gare'!$A$5:$A$31</c:f>
              <c:strCache>
                <c:ptCount val="27"/>
                <c:pt idx="0">
                  <c:v>Lituanie</c:v>
                </c:pt>
                <c:pt idx="1">
                  <c:v>Estonie</c:v>
                </c:pt>
                <c:pt idx="2">
                  <c:v>Lettonie</c:v>
                </c:pt>
                <c:pt idx="3">
                  <c:v>Roumanie</c:v>
                </c:pt>
                <c:pt idx="4">
                  <c:v>Pologne</c:v>
                </c:pt>
                <c:pt idx="5">
                  <c:v>Finlande</c:v>
                </c:pt>
                <c:pt idx="6">
                  <c:v>Bulgarie</c:v>
                </c:pt>
                <c:pt idx="7">
                  <c:v>Hongrie</c:v>
                </c:pt>
                <c:pt idx="8">
                  <c:v>Irlande</c:v>
                </c:pt>
                <c:pt idx="9">
                  <c:v>Portugal</c:v>
                </c:pt>
                <c:pt idx="10">
                  <c:v>Slovénie</c:v>
                </c:pt>
                <c:pt idx="11">
                  <c:v>Croatie</c:v>
                </c:pt>
                <c:pt idx="12">
                  <c:v>Rép. Tchèque</c:v>
                </c:pt>
                <c:pt idx="13">
                  <c:v>Grèce</c:v>
                </c:pt>
                <c:pt idx="14">
                  <c:v>U E 26</c:v>
                </c:pt>
                <c:pt idx="15">
                  <c:v>Allemagne</c:v>
                </c:pt>
                <c:pt idx="16">
                  <c:v>F R A N C E</c:v>
                </c:pt>
                <c:pt idx="17">
                  <c:v>Slovaquie</c:v>
                </c:pt>
                <c:pt idx="18">
                  <c:v>Espagne</c:v>
                </c:pt>
                <c:pt idx="19">
                  <c:v>Suède</c:v>
                </c:pt>
                <c:pt idx="20">
                  <c:v>Italie</c:v>
                </c:pt>
                <c:pt idx="21">
                  <c:v>Royaume-Uni</c:v>
                </c:pt>
                <c:pt idx="22">
                  <c:v>Belgique</c:v>
                </c:pt>
                <c:pt idx="23">
                  <c:v>Autriche</c:v>
                </c:pt>
                <c:pt idx="24">
                  <c:v>Pays-Bas</c:v>
                </c:pt>
                <c:pt idx="25">
                  <c:v>Danemark</c:v>
                </c:pt>
                <c:pt idx="26">
                  <c:v>Luxembourg</c:v>
                </c:pt>
              </c:strCache>
            </c:strRef>
          </c:cat>
          <c:val>
            <c:numRef>
              <c:f>'Distance gare'!$D$5:$D$31</c:f>
              <c:numCache>
                <c:formatCode>General</c:formatCode>
                <c:ptCount val="27"/>
                <c:pt idx="0">
                  <c:v>23.0</c:v>
                </c:pt>
                <c:pt idx="1">
                  <c:v>17.0</c:v>
                </c:pt>
                <c:pt idx="2">
                  <c:v>22.0</c:v>
                </c:pt>
                <c:pt idx="3">
                  <c:v>18.0</c:v>
                </c:pt>
                <c:pt idx="4">
                  <c:v>15.0</c:v>
                </c:pt>
                <c:pt idx="5">
                  <c:v>17.0</c:v>
                </c:pt>
                <c:pt idx="6">
                  <c:v>17.0</c:v>
                </c:pt>
                <c:pt idx="7">
                  <c:v>16.0</c:v>
                </c:pt>
                <c:pt idx="8">
                  <c:v>20.0</c:v>
                </c:pt>
                <c:pt idx="9">
                  <c:v>14.0</c:v>
                </c:pt>
                <c:pt idx="10">
                  <c:v>13.0</c:v>
                </c:pt>
                <c:pt idx="11">
                  <c:v>13.0</c:v>
                </c:pt>
                <c:pt idx="12">
                  <c:v>9.0</c:v>
                </c:pt>
                <c:pt idx="13">
                  <c:v>15.0</c:v>
                </c:pt>
                <c:pt idx="14">
                  <c:v>12.0</c:v>
                </c:pt>
                <c:pt idx="15">
                  <c:v>12.0</c:v>
                </c:pt>
                <c:pt idx="16">
                  <c:v>11.0</c:v>
                </c:pt>
                <c:pt idx="17">
                  <c:v>11.0</c:v>
                </c:pt>
                <c:pt idx="18">
                  <c:v>10.0</c:v>
                </c:pt>
                <c:pt idx="19">
                  <c:v>9.0</c:v>
                </c:pt>
                <c:pt idx="20">
                  <c:v>12.0</c:v>
                </c:pt>
                <c:pt idx="21">
                  <c:v>11.0</c:v>
                </c:pt>
                <c:pt idx="22">
                  <c:v>9.0</c:v>
                </c:pt>
                <c:pt idx="23">
                  <c:v>11.0</c:v>
                </c:pt>
                <c:pt idx="24">
                  <c:v>8.0</c:v>
                </c:pt>
                <c:pt idx="25">
                  <c:v>8.0</c:v>
                </c:pt>
                <c:pt idx="26">
                  <c:v>8.0</c:v>
                </c:pt>
              </c:numCache>
            </c:numRef>
          </c:val>
        </c:ser>
        <c:ser>
          <c:idx val="2"/>
          <c:order val="3"/>
          <c:tx>
            <c:strRef>
              <c:f>'Distance gare'!$E$4</c:f>
              <c:strCache>
                <c:ptCount val="1"/>
                <c:pt idx="0">
                  <c:v>Plus d’une heure</c:v>
                </c:pt>
              </c:strCache>
            </c:strRef>
          </c:tx>
          <c:invertIfNegative val="0"/>
          <c:dLbls>
            <c:showLegendKey val="0"/>
            <c:showVal val="1"/>
            <c:showCatName val="0"/>
            <c:showSerName val="0"/>
            <c:showPercent val="0"/>
            <c:showBubbleSize val="0"/>
            <c:showLeaderLines val="0"/>
          </c:dLbls>
          <c:cat>
            <c:strRef>
              <c:f>'Distance gare'!$A$5:$A$31</c:f>
              <c:strCache>
                <c:ptCount val="27"/>
                <c:pt idx="0">
                  <c:v>Lituanie</c:v>
                </c:pt>
                <c:pt idx="1">
                  <c:v>Estonie</c:v>
                </c:pt>
                <c:pt idx="2">
                  <c:v>Lettonie</c:v>
                </c:pt>
                <c:pt idx="3">
                  <c:v>Roumanie</c:v>
                </c:pt>
                <c:pt idx="4">
                  <c:v>Pologne</c:v>
                </c:pt>
                <c:pt idx="5">
                  <c:v>Finlande</c:v>
                </c:pt>
                <c:pt idx="6">
                  <c:v>Bulgarie</c:v>
                </c:pt>
                <c:pt idx="7">
                  <c:v>Hongrie</c:v>
                </c:pt>
                <c:pt idx="8">
                  <c:v>Irlande</c:v>
                </c:pt>
                <c:pt idx="9">
                  <c:v>Portugal</c:v>
                </c:pt>
                <c:pt idx="10">
                  <c:v>Slovénie</c:v>
                </c:pt>
                <c:pt idx="11">
                  <c:v>Croatie</c:v>
                </c:pt>
                <c:pt idx="12">
                  <c:v>Rép. Tchèque</c:v>
                </c:pt>
                <c:pt idx="13">
                  <c:v>Grèce</c:v>
                </c:pt>
                <c:pt idx="14">
                  <c:v>U E 26</c:v>
                </c:pt>
                <c:pt idx="15">
                  <c:v>Allemagne</c:v>
                </c:pt>
                <c:pt idx="16">
                  <c:v>F R A N C E</c:v>
                </c:pt>
                <c:pt idx="17">
                  <c:v>Slovaquie</c:v>
                </c:pt>
                <c:pt idx="18">
                  <c:v>Espagne</c:v>
                </c:pt>
                <c:pt idx="19">
                  <c:v>Suède</c:v>
                </c:pt>
                <c:pt idx="20">
                  <c:v>Italie</c:v>
                </c:pt>
                <c:pt idx="21">
                  <c:v>Royaume-Uni</c:v>
                </c:pt>
                <c:pt idx="22">
                  <c:v>Belgique</c:v>
                </c:pt>
                <c:pt idx="23">
                  <c:v>Autriche</c:v>
                </c:pt>
                <c:pt idx="24">
                  <c:v>Pays-Bas</c:v>
                </c:pt>
                <c:pt idx="25">
                  <c:v>Danemark</c:v>
                </c:pt>
                <c:pt idx="26">
                  <c:v>Luxembourg</c:v>
                </c:pt>
              </c:strCache>
            </c:strRef>
          </c:cat>
          <c:val>
            <c:numRef>
              <c:f>'Distance gare'!$E$5:$E$31</c:f>
              <c:numCache>
                <c:formatCode>General</c:formatCode>
                <c:ptCount val="27"/>
                <c:pt idx="0">
                  <c:v>10.0</c:v>
                </c:pt>
                <c:pt idx="1">
                  <c:v>10.0</c:v>
                </c:pt>
                <c:pt idx="2">
                  <c:v>14.0</c:v>
                </c:pt>
                <c:pt idx="3">
                  <c:v>8.0</c:v>
                </c:pt>
                <c:pt idx="4">
                  <c:v>6.0</c:v>
                </c:pt>
                <c:pt idx="5">
                  <c:v>7.0</c:v>
                </c:pt>
                <c:pt idx="6">
                  <c:v>6.0</c:v>
                </c:pt>
                <c:pt idx="7">
                  <c:v>5.0</c:v>
                </c:pt>
                <c:pt idx="8">
                  <c:v>10.0</c:v>
                </c:pt>
                <c:pt idx="9">
                  <c:v>6.0</c:v>
                </c:pt>
                <c:pt idx="10">
                  <c:v>13.0</c:v>
                </c:pt>
                <c:pt idx="11">
                  <c:v>9.0</c:v>
                </c:pt>
                <c:pt idx="12">
                  <c:v>2.0</c:v>
                </c:pt>
                <c:pt idx="13">
                  <c:v>12.0</c:v>
                </c:pt>
                <c:pt idx="14">
                  <c:v>4.0</c:v>
                </c:pt>
                <c:pt idx="15">
                  <c:v>3.0</c:v>
                </c:pt>
                <c:pt idx="16">
                  <c:v>2.0</c:v>
                </c:pt>
                <c:pt idx="17">
                  <c:v>4.0</c:v>
                </c:pt>
                <c:pt idx="18">
                  <c:v>6.0</c:v>
                </c:pt>
                <c:pt idx="19">
                  <c:v>2.0</c:v>
                </c:pt>
                <c:pt idx="20">
                  <c:v>2.0</c:v>
                </c:pt>
                <c:pt idx="21">
                  <c:v>2.0</c:v>
                </c:pt>
                <c:pt idx="22">
                  <c:v>1.0</c:v>
                </c:pt>
                <c:pt idx="23">
                  <c:v>1.0</c:v>
                </c:pt>
                <c:pt idx="24">
                  <c:v>2.0</c:v>
                </c:pt>
                <c:pt idx="25">
                  <c:v>2.0</c:v>
                </c:pt>
                <c:pt idx="26">
                  <c:v>2.0</c:v>
                </c:pt>
              </c:numCache>
            </c:numRef>
          </c:val>
        </c:ser>
        <c:dLbls>
          <c:showLegendKey val="0"/>
          <c:showVal val="0"/>
          <c:showCatName val="0"/>
          <c:showSerName val="0"/>
          <c:showPercent val="0"/>
          <c:showBubbleSize val="0"/>
        </c:dLbls>
        <c:gapWidth val="150"/>
        <c:overlap val="100"/>
        <c:axId val="-2081569128"/>
        <c:axId val="-2081565960"/>
      </c:barChart>
      <c:catAx>
        <c:axId val="-2081569128"/>
        <c:scaling>
          <c:orientation val="minMax"/>
        </c:scaling>
        <c:delete val="0"/>
        <c:axPos val="b"/>
        <c:majorTickMark val="out"/>
        <c:minorTickMark val="none"/>
        <c:tickLblPos val="nextTo"/>
        <c:txPr>
          <a:bodyPr rot="-5400000" vert="horz"/>
          <a:lstStyle/>
          <a:p>
            <a:pPr>
              <a:defRPr/>
            </a:pPr>
            <a:endParaRPr lang="fr-FR"/>
          </a:p>
        </c:txPr>
        <c:crossAx val="-2081565960"/>
        <c:crosses val="autoZero"/>
        <c:auto val="1"/>
        <c:lblAlgn val="ctr"/>
        <c:lblOffset val="100"/>
        <c:noMultiLvlLbl val="0"/>
      </c:catAx>
      <c:valAx>
        <c:axId val="-2081565960"/>
        <c:scaling>
          <c:orientation val="minMax"/>
          <c:max val="100.0"/>
        </c:scaling>
        <c:delete val="0"/>
        <c:axPos val="l"/>
        <c:majorGridlines/>
        <c:numFmt formatCode="General" sourceLinked="1"/>
        <c:majorTickMark val="out"/>
        <c:minorTickMark val="none"/>
        <c:tickLblPos val="nextTo"/>
        <c:crossAx val="-2081569128"/>
        <c:crosses val="autoZero"/>
        <c:crossBetween val="between"/>
      </c:valAx>
    </c:plotArea>
    <c:legend>
      <c:legendPos val="b"/>
      <c:layout/>
      <c:overlay val="0"/>
    </c:legend>
    <c:plotVisOnly val="1"/>
    <c:dispBlanksAs val="gap"/>
    <c:showDLblsOverMax val="0"/>
  </c:chart>
  <c:spPr>
    <a:ln>
      <a:noFill/>
    </a:ln>
  </c:spPr>
  <c:txPr>
    <a:bodyPr/>
    <a:lstStyle/>
    <a:p>
      <a:pPr>
        <a:defRPr sz="1000"/>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stacked"/>
        <c:varyColors val="0"/>
        <c:ser>
          <c:idx val="5"/>
          <c:order val="0"/>
          <c:tx>
            <c:strRef>
              <c:f>'Gar Satis Horaires'!$B$5</c:f>
              <c:strCache>
                <c:ptCount val="1"/>
                <c:pt idx="0">
                  <c:v>Très satisfait</c:v>
                </c:pt>
              </c:strCache>
            </c:strRef>
          </c:tx>
          <c:invertIfNegative val="0"/>
          <c:dLbls>
            <c:showLegendKey val="0"/>
            <c:showVal val="1"/>
            <c:showCatName val="0"/>
            <c:showSerName val="0"/>
            <c:showPercent val="0"/>
            <c:showBubbleSize val="0"/>
            <c:showLeaderLines val="0"/>
          </c:dLbls>
          <c:cat>
            <c:strRef>
              <c:f>'Gar Satis Horaires'!$A$6:$A$32</c:f>
              <c:strCache>
                <c:ptCount val="27"/>
                <c:pt idx="0">
                  <c:v>Pologne</c:v>
                </c:pt>
                <c:pt idx="1">
                  <c:v>Italie</c:v>
                </c:pt>
                <c:pt idx="2">
                  <c:v>Estonie</c:v>
                </c:pt>
                <c:pt idx="3">
                  <c:v>F R A N C E</c:v>
                </c:pt>
                <c:pt idx="4">
                  <c:v>Allemagne</c:v>
                </c:pt>
                <c:pt idx="5">
                  <c:v>Roumanie</c:v>
                </c:pt>
                <c:pt idx="6">
                  <c:v>Bulgarie</c:v>
                </c:pt>
                <c:pt idx="7">
                  <c:v>Grèce</c:v>
                </c:pt>
                <c:pt idx="8">
                  <c:v>Hongrie</c:v>
                </c:pt>
                <c:pt idx="9">
                  <c:v>U E 26</c:v>
                </c:pt>
                <c:pt idx="10">
                  <c:v>Belgique</c:v>
                </c:pt>
                <c:pt idx="11">
                  <c:v>Espagne</c:v>
                </c:pt>
                <c:pt idx="12">
                  <c:v>Pays-Bas</c:v>
                </c:pt>
                <c:pt idx="13">
                  <c:v>Croatie</c:v>
                </c:pt>
                <c:pt idx="14">
                  <c:v>Finlande</c:v>
                </c:pt>
                <c:pt idx="15">
                  <c:v>Suède</c:v>
                </c:pt>
                <c:pt idx="16">
                  <c:v>Lettonie</c:v>
                </c:pt>
                <c:pt idx="17">
                  <c:v>Lituanie</c:v>
                </c:pt>
                <c:pt idx="18">
                  <c:v>Slovaquie</c:v>
                </c:pt>
                <c:pt idx="19">
                  <c:v>Slovénie</c:v>
                </c:pt>
                <c:pt idx="20">
                  <c:v>Danemark</c:v>
                </c:pt>
                <c:pt idx="21">
                  <c:v>Rép. Tchèque</c:v>
                </c:pt>
                <c:pt idx="22">
                  <c:v>Autriche</c:v>
                </c:pt>
                <c:pt idx="23">
                  <c:v>Irlande</c:v>
                </c:pt>
                <c:pt idx="24">
                  <c:v>Portugal</c:v>
                </c:pt>
                <c:pt idx="25">
                  <c:v>Royaume-Uni</c:v>
                </c:pt>
                <c:pt idx="26">
                  <c:v>Luxembourg</c:v>
                </c:pt>
              </c:strCache>
            </c:strRef>
          </c:cat>
          <c:val>
            <c:numRef>
              <c:f>'Gar Satis Horaires'!$B$6:$B$32</c:f>
              <c:numCache>
                <c:formatCode>General</c:formatCode>
                <c:ptCount val="27"/>
                <c:pt idx="0">
                  <c:v>6.0</c:v>
                </c:pt>
                <c:pt idx="1">
                  <c:v>15.0</c:v>
                </c:pt>
                <c:pt idx="2">
                  <c:v>17.0</c:v>
                </c:pt>
                <c:pt idx="3">
                  <c:v>17.0</c:v>
                </c:pt>
                <c:pt idx="4">
                  <c:v>18.0</c:v>
                </c:pt>
                <c:pt idx="5">
                  <c:v>18.0</c:v>
                </c:pt>
                <c:pt idx="6">
                  <c:v>20.0</c:v>
                </c:pt>
                <c:pt idx="7">
                  <c:v>20.0</c:v>
                </c:pt>
                <c:pt idx="8">
                  <c:v>20.0</c:v>
                </c:pt>
                <c:pt idx="9">
                  <c:v>21.0</c:v>
                </c:pt>
                <c:pt idx="10">
                  <c:v>21.0</c:v>
                </c:pt>
                <c:pt idx="11">
                  <c:v>23.0</c:v>
                </c:pt>
                <c:pt idx="12">
                  <c:v>23.0</c:v>
                </c:pt>
                <c:pt idx="13">
                  <c:v>23.0</c:v>
                </c:pt>
                <c:pt idx="14">
                  <c:v>24.0</c:v>
                </c:pt>
                <c:pt idx="15">
                  <c:v>24.0</c:v>
                </c:pt>
                <c:pt idx="16">
                  <c:v>25.0</c:v>
                </c:pt>
                <c:pt idx="17">
                  <c:v>25.0</c:v>
                </c:pt>
                <c:pt idx="18">
                  <c:v>25.0</c:v>
                </c:pt>
                <c:pt idx="19">
                  <c:v>27.0</c:v>
                </c:pt>
                <c:pt idx="20">
                  <c:v>28.0</c:v>
                </c:pt>
                <c:pt idx="21">
                  <c:v>29.0</c:v>
                </c:pt>
                <c:pt idx="22">
                  <c:v>31.0</c:v>
                </c:pt>
                <c:pt idx="23">
                  <c:v>32.0</c:v>
                </c:pt>
                <c:pt idx="24">
                  <c:v>35.0</c:v>
                </c:pt>
                <c:pt idx="25">
                  <c:v>35.0</c:v>
                </c:pt>
                <c:pt idx="26">
                  <c:v>38.0</c:v>
                </c:pt>
              </c:numCache>
            </c:numRef>
          </c:val>
        </c:ser>
        <c:ser>
          <c:idx val="0"/>
          <c:order val="1"/>
          <c:tx>
            <c:strRef>
              <c:f>'Gar Satis Horaires'!$C$5</c:f>
              <c:strCache>
                <c:ptCount val="1"/>
                <c:pt idx="0">
                  <c:v>Satisfait</c:v>
                </c:pt>
              </c:strCache>
            </c:strRef>
          </c:tx>
          <c:invertIfNegative val="0"/>
          <c:dLbls>
            <c:showLegendKey val="0"/>
            <c:showVal val="1"/>
            <c:showCatName val="0"/>
            <c:showSerName val="0"/>
            <c:showPercent val="0"/>
            <c:showBubbleSize val="0"/>
            <c:showLeaderLines val="0"/>
          </c:dLbls>
          <c:cat>
            <c:strRef>
              <c:f>'Gar Satis Horaires'!$A$6:$A$32</c:f>
              <c:strCache>
                <c:ptCount val="27"/>
                <c:pt idx="0">
                  <c:v>Pologne</c:v>
                </c:pt>
                <c:pt idx="1">
                  <c:v>Italie</c:v>
                </c:pt>
                <c:pt idx="2">
                  <c:v>Estonie</c:v>
                </c:pt>
                <c:pt idx="3">
                  <c:v>F R A N C E</c:v>
                </c:pt>
                <c:pt idx="4">
                  <c:v>Allemagne</c:v>
                </c:pt>
                <c:pt idx="5">
                  <c:v>Roumanie</c:v>
                </c:pt>
                <c:pt idx="6">
                  <c:v>Bulgarie</c:v>
                </c:pt>
                <c:pt idx="7">
                  <c:v>Grèce</c:v>
                </c:pt>
                <c:pt idx="8">
                  <c:v>Hongrie</c:v>
                </c:pt>
                <c:pt idx="9">
                  <c:v>U E 26</c:v>
                </c:pt>
                <c:pt idx="10">
                  <c:v>Belgique</c:v>
                </c:pt>
                <c:pt idx="11">
                  <c:v>Espagne</c:v>
                </c:pt>
                <c:pt idx="12">
                  <c:v>Pays-Bas</c:v>
                </c:pt>
                <c:pt idx="13">
                  <c:v>Croatie</c:v>
                </c:pt>
                <c:pt idx="14">
                  <c:v>Finlande</c:v>
                </c:pt>
                <c:pt idx="15">
                  <c:v>Suède</c:v>
                </c:pt>
                <c:pt idx="16">
                  <c:v>Lettonie</c:v>
                </c:pt>
                <c:pt idx="17">
                  <c:v>Lituanie</c:v>
                </c:pt>
                <c:pt idx="18">
                  <c:v>Slovaquie</c:v>
                </c:pt>
                <c:pt idx="19">
                  <c:v>Slovénie</c:v>
                </c:pt>
                <c:pt idx="20">
                  <c:v>Danemark</c:v>
                </c:pt>
                <c:pt idx="21">
                  <c:v>Rép. Tchèque</c:v>
                </c:pt>
                <c:pt idx="22">
                  <c:v>Autriche</c:v>
                </c:pt>
                <c:pt idx="23">
                  <c:v>Irlande</c:v>
                </c:pt>
                <c:pt idx="24">
                  <c:v>Portugal</c:v>
                </c:pt>
                <c:pt idx="25">
                  <c:v>Royaume-Uni</c:v>
                </c:pt>
                <c:pt idx="26">
                  <c:v>Luxembourg</c:v>
                </c:pt>
              </c:strCache>
            </c:strRef>
          </c:cat>
          <c:val>
            <c:numRef>
              <c:f>'Gar Satis Horaires'!$C$6:$C$32</c:f>
              <c:numCache>
                <c:formatCode>General</c:formatCode>
                <c:ptCount val="27"/>
                <c:pt idx="0">
                  <c:v>43.0</c:v>
                </c:pt>
                <c:pt idx="1">
                  <c:v>48.0</c:v>
                </c:pt>
                <c:pt idx="2">
                  <c:v>21.0</c:v>
                </c:pt>
                <c:pt idx="3">
                  <c:v>61.0</c:v>
                </c:pt>
                <c:pt idx="4">
                  <c:v>48.0</c:v>
                </c:pt>
                <c:pt idx="5">
                  <c:v>39.0</c:v>
                </c:pt>
                <c:pt idx="6">
                  <c:v>38.0</c:v>
                </c:pt>
                <c:pt idx="7">
                  <c:v>32.0</c:v>
                </c:pt>
                <c:pt idx="8">
                  <c:v>43.0</c:v>
                </c:pt>
                <c:pt idx="9">
                  <c:v>47.0</c:v>
                </c:pt>
                <c:pt idx="10">
                  <c:v>53.0</c:v>
                </c:pt>
                <c:pt idx="11">
                  <c:v>49.0</c:v>
                </c:pt>
                <c:pt idx="12">
                  <c:v>46.0</c:v>
                </c:pt>
                <c:pt idx="13">
                  <c:v>32.0</c:v>
                </c:pt>
                <c:pt idx="14">
                  <c:v>56.0</c:v>
                </c:pt>
                <c:pt idx="15">
                  <c:v>47.0</c:v>
                </c:pt>
                <c:pt idx="16">
                  <c:v>47.0</c:v>
                </c:pt>
                <c:pt idx="17">
                  <c:v>27.0</c:v>
                </c:pt>
                <c:pt idx="18">
                  <c:v>39.0</c:v>
                </c:pt>
                <c:pt idx="19">
                  <c:v>30.0</c:v>
                </c:pt>
                <c:pt idx="20">
                  <c:v>42.0</c:v>
                </c:pt>
                <c:pt idx="21">
                  <c:v>48.0</c:v>
                </c:pt>
                <c:pt idx="22">
                  <c:v>43.0</c:v>
                </c:pt>
                <c:pt idx="23">
                  <c:v>42.0</c:v>
                </c:pt>
                <c:pt idx="24">
                  <c:v>33.0</c:v>
                </c:pt>
                <c:pt idx="25">
                  <c:v>45.0</c:v>
                </c:pt>
                <c:pt idx="26">
                  <c:v>43.0</c:v>
                </c:pt>
              </c:numCache>
            </c:numRef>
          </c:val>
        </c:ser>
        <c:ser>
          <c:idx val="1"/>
          <c:order val="2"/>
          <c:tx>
            <c:strRef>
              <c:f>'Gar Satis Horaires'!$D$5</c:f>
              <c:strCache>
                <c:ptCount val="1"/>
                <c:pt idx="0">
                  <c:v>Insatisfait</c:v>
                </c:pt>
              </c:strCache>
            </c:strRef>
          </c:tx>
          <c:invertIfNegative val="0"/>
          <c:dLbls>
            <c:showLegendKey val="0"/>
            <c:showVal val="1"/>
            <c:showCatName val="0"/>
            <c:showSerName val="0"/>
            <c:showPercent val="0"/>
            <c:showBubbleSize val="0"/>
            <c:showLeaderLines val="0"/>
          </c:dLbls>
          <c:cat>
            <c:strRef>
              <c:f>'Gar Satis Horaires'!$A$6:$A$32</c:f>
              <c:strCache>
                <c:ptCount val="27"/>
                <c:pt idx="0">
                  <c:v>Pologne</c:v>
                </c:pt>
                <c:pt idx="1">
                  <c:v>Italie</c:v>
                </c:pt>
                <c:pt idx="2">
                  <c:v>Estonie</c:v>
                </c:pt>
                <c:pt idx="3">
                  <c:v>F R A N C E</c:v>
                </c:pt>
                <c:pt idx="4">
                  <c:v>Allemagne</c:v>
                </c:pt>
                <c:pt idx="5">
                  <c:v>Roumanie</c:v>
                </c:pt>
                <c:pt idx="6">
                  <c:v>Bulgarie</c:v>
                </c:pt>
                <c:pt idx="7">
                  <c:v>Grèce</c:v>
                </c:pt>
                <c:pt idx="8">
                  <c:v>Hongrie</c:v>
                </c:pt>
                <c:pt idx="9">
                  <c:v>U E 26</c:v>
                </c:pt>
                <c:pt idx="10">
                  <c:v>Belgique</c:v>
                </c:pt>
                <c:pt idx="11">
                  <c:v>Espagne</c:v>
                </c:pt>
                <c:pt idx="12">
                  <c:v>Pays-Bas</c:v>
                </c:pt>
                <c:pt idx="13">
                  <c:v>Croatie</c:v>
                </c:pt>
                <c:pt idx="14">
                  <c:v>Finlande</c:v>
                </c:pt>
                <c:pt idx="15">
                  <c:v>Suède</c:v>
                </c:pt>
                <c:pt idx="16">
                  <c:v>Lettonie</c:v>
                </c:pt>
                <c:pt idx="17">
                  <c:v>Lituanie</c:v>
                </c:pt>
                <c:pt idx="18">
                  <c:v>Slovaquie</c:v>
                </c:pt>
                <c:pt idx="19">
                  <c:v>Slovénie</c:v>
                </c:pt>
                <c:pt idx="20">
                  <c:v>Danemark</c:v>
                </c:pt>
                <c:pt idx="21">
                  <c:v>Rép. Tchèque</c:v>
                </c:pt>
                <c:pt idx="22">
                  <c:v>Autriche</c:v>
                </c:pt>
                <c:pt idx="23">
                  <c:v>Irlande</c:v>
                </c:pt>
                <c:pt idx="24">
                  <c:v>Portugal</c:v>
                </c:pt>
                <c:pt idx="25">
                  <c:v>Royaume-Uni</c:v>
                </c:pt>
                <c:pt idx="26">
                  <c:v>Luxembourg</c:v>
                </c:pt>
              </c:strCache>
            </c:strRef>
          </c:cat>
          <c:val>
            <c:numRef>
              <c:f>'Gar Satis Horaires'!$D$6:$D$32</c:f>
              <c:numCache>
                <c:formatCode>General</c:formatCode>
                <c:ptCount val="27"/>
                <c:pt idx="0">
                  <c:v>19.0</c:v>
                </c:pt>
                <c:pt idx="1">
                  <c:v>14.0</c:v>
                </c:pt>
                <c:pt idx="2">
                  <c:v>3.0</c:v>
                </c:pt>
                <c:pt idx="3">
                  <c:v>12.0</c:v>
                </c:pt>
                <c:pt idx="4">
                  <c:v>18.0</c:v>
                </c:pt>
                <c:pt idx="5">
                  <c:v>11.0</c:v>
                </c:pt>
                <c:pt idx="6">
                  <c:v>9.0</c:v>
                </c:pt>
                <c:pt idx="7">
                  <c:v>11.0</c:v>
                </c:pt>
                <c:pt idx="8">
                  <c:v>10.0</c:v>
                </c:pt>
                <c:pt idx="9">
                  <c:v>12.0</c:v>
                </c:pt>
                <c:pt idx="10">
                  <c:v>12.0</c:v>
                </c:pt>
                <c:pt idx="11">
                  <c:v>6.0</c:v>
                </c:pt>
                <c:pt idx="12">
                  <c:v>12.0</c:v>
                </c:pt>
                <c:pt idx="13">
                  <c:v>9.0</c:v>
                </c:pt>
                <c:pt idx="14">
                  <c:v>8.0</c:v>
                </c:pt>
                <c:pt idx="15">
                  <c:v>11.0</c:v>
                </c:pt>
                <c:pt idx="16">
                  <c:v>5.0</c:v>
                </c:pt>
                <c:pt idx="17">
                  <c:v>2.0</c:v>
                </c:pt>
                <c:pt idx="18">
                  <c:v>7.0</c:v>
                </c:pt>
                <c:pt idx="19">
                  <c:v>7.0</c:v>
                </c:pt>
                <c:pt idx="20">
                  <c:v>10.0</c:v>
                </c:pt>
                <c:pt idx="21">
                  <c:v>5.0</c:v>
                </c:pt>
                <c:pt idx="22">
                  <c:v>10.0</c:v>
                </c:pt>
                <c:pt idx="23">
                  <c:v>9.0</c:v>
                </c:pt>
                <c:pt idx="24">
                  <c:v>6.0</c:v>
                </c:pt>
                <c:pt idx="25">
                  <c:v>6.0</c:v>
                </c:pt>
                <c:pt idx="26">
                  <c:v>6.0</c:v>
                </c:pt>
              </c:numCache>
            </c:numRef>
          </c:val>
        </c:ser>
        <c:ser>
          <c:idx val="2"/>
          <c:order val="3"/>
          <c:tx>
            <c:strRef>
              <c:f>'Gar Satis Horaires'!$E$5</c:f>
              <c:strCache>
                <c:ptCount val="1"/>
                <c:pt idx="0">
                  <c:v>Très mécontent</c:v>
                </c:pt>
              </c:strCache>
            </c:strRef>
          </c:tx>
          <c:invertIfNegative val="0"/>
          <c:dLbls>
            <c:showLegendKey val="0"/>
            <c:showVal val="1"/>
            <c:showCatName val="0"/>
            <c:showSerName val="0"/>
            <c:showPercent val="0"/>
            <c:showBubbleSize val="0"/>
            <c:showLeaderLines val="0"/>
          </c:dLbls>
          <c:cat>
            <c:strRef>
              <c:f>'Gar Satis Horaires'!$A$6:$A$32</c:f>
              <c:strCache>
                <c:ptCount val="27"/>
                <c:pt idx="0">
                  <c:v>Pologne</c:v>
                </c:pt>
                <c:pt idx="1">
                  <c:v>Italie</c:v>
                </c:pt>
                <c:pt idx="2">
                  <c:v>Estonie</c:v>
                </c:pt>
                <c:pt idx="3">
                  <c:v>F R A N C E</c:v>
                </c:pt>
                <c:pt idx="4">
                  <c:v>Allemagne</c:v>
                </c:pt>
                <c:pt idx="5">
                  <c:v>Roumanie</c:v>
                </c:pt>
                <c:pt idx="6">
                  <c:v>Bulgarie</c:v>
                </c:pt>
                <c:pt idx="7">
                  <c:v>Grèce</c:v>
                </c:pt>
                <c:pt idx="8">
                  <c:v>Hongrie</c:v>
                </c:pt>
                <c:pt idx="9">
                  <c:v>U E 26</c:v>
                </c:pt>
                <c:pt idx="10">
                  <c:v>Belgique</c:v>
                </c:pt>
                <c:pt idx="11">
                  <c:v>Espagne</c:v>
                </c:pt>
                <c:pt idx="12">
                  <c:v>Pays-Bas</c:v>
                </c:pt>
                <c:pt idx="13">
                  <c:v>Croatie</c:v>
                </c:pt>
                <c:pt idx="14">
                  <c:v>Finlande</c:v>
                </c:pt>
                <c:pt idx="15">
                  <c:v>Suède</c:v>
                </c:pt>
                <c:pt idx="16">
                  <c:v>Lettonie</c:v>
                </c:pt>
                <c:pt idx="17">
                  <c:v>Lituanie</c:v>
                </c:pt>
                <c:pt idx="18">
                  <c:v>Slovaquie</c:v>
                </c:pt>
                <c:pt idx="19">
                  <c:v>Slovénie</c:v>
                </c:pt>
                <c:pt idx="20">
                  <c:v>Danemark</c:v>
                </c:pt>
                <c:pt idx="21">
                  <c:v>Rép. Tchèque</c:v>
                </c:pt>
                <c:pt idx="22">
                  <c:v>Autriche</c:v>
                </c:pt>
                <c:pt idx="23">
                  <c:v>Irlande</c:v>
                </c:pt>
                <c:pt idx="24">
                  <c:v>Portugal</c:v>
                </c:pt>
                <c:pt idx="25">
                  <c:v>Royaume-Uni</c:v>
                </c:pt>
                <c:pt idx="26">
                  <c:v>Luxembourg</c:v>
                </c:pt>
              </c:strCache>
            </c:strRef>
          </c:cat>
          <c:val>
            <c:numRef>
              <c:f>'Gar Satis Horaires'!$E$6:$E$32</c:f>
              <c:numCache>
                <c:formatCode>General</c:formatCode>
                <c:ptCount val="27"/>
                <c:pt idx="0">
                  <c:v>8.0</c:v>
                </c:pt>
                <c:pt idx="1">
                  <c:v>8.0</c:v>
                </c:pt>
                <c:pt idx="2">
                  <c:v>1.0</c:v>
                </c:pt>
                <c:pt idx="3">
                  <c:v>4.0</c:v>
                </c:pt>
                <c:pt idx="4">
                  <c:v>5.0</c:v>
                </c:pt>
                <c:pt idx="5">
                  <c:v>6.0</c:v>
                </c:pt>
                <c:pt idx="6">
                  <c:v>4.0</c:v>
                </c:pt>
                <c:pt idx="7">
                  <c:v>5.0</c:v>
                </c:pt>
                <c:pt idx="8">
                  <c:v>4.0</c:v>
                </c:pt>
                <c:pt idx="9">
                  <c:v>4.0</c:v>
                </c:pt>
                <c:pt idx="10">
                  <c:v>2.0</c:v>
                </c:pt>
                <c:pt idx="11">
                  <c:v>3.0</c:v>
                </c:pt>
                <c:pt idx="12">
                  <c:v>3.0</c:v>
                </c:pt>
                <c:pt idx="13">
                  <c:v>4.0</c:v>
                </c:pt>
                <c:pt idx="14">
                  <c:v>1.0</c:v>
                </c:pt>
                <c:pt idx="15">
                  <c:v>3.0</c:v>
                </c:pt>
                <c:pt idx="16">
                  <c:v>2.0</c:v>
                </c:pt>
                <c:pt idx="17">
                  <c:v>1.0</c:v>
                </c:pt>
                <c:pt idx="18">
                  <c:v>2.0</c:v>
                </c:pt>
                <c:pt idx="19">
                  <c:v>3.0</c:v>
                </c:pt>
                <c:pt idx="20">
                  <c:v>3.0</c:v>
                </c:pt>
                <c:pt idx="21">
                  <c:v>1.0</c:v>
                </c:pt>
                <c:pt idx="22">
                  <c:v>3.0</c:v>
                </c:pt>
                <c:pt idx="23">
                  <c:v>4.0</c:v>
                </c:pt>
                <c:pt idx="24">
                  <c:v>5.0</c:v>
                </c:pt>
                <c:pt idx="25">
                  <c:v>1.0</c:v>
                </c:pt>
                <c:pt idx="26">
                  <c:v>2.0</c:v>
                </c:pt>
              </c:numCache>
            </c:numRef>
          </c:val>
        </c:ser>
        <c:dLbls>
          <c:showLegendKey val="0"/>
          <c:showVal val="0"/>
          <c:showCatName val="0"/>
          <c:showSerName val="0"/>
          <c:showPercent val="0"/>
          <c:showBubbleSize val="0"/>
        </c:dLbls>
        <c:gapWidth val="150"/>
        <c:overlap val="100"/>
        <c:axId val="-2093785112"/>
        <c:axId val="-2093778888"/>
      </c:barChart>
      <c:catAx>
        <c:axId val="-2093785112"/>
        <c:scaling>
          <c:orientation val="minMax"/>
        </c:scaling>
        <c:delete val="0"/>
        <c:axPos val="b"/>
        <c:majorTickMark val="out"/>
        <c:minorTickMark val="none"/>
        <c:tickLblPos val="nextTo"/>
        <c:txPr>
          <a:bodyPr rot="-5400000" vert="horz"/>
          <a:lstStyle/>
          <a:p>
            <a:pPr>
              <a:defRPr/>
            </a:pPr>
            <a:endParaRPr lang="fr-FR"/>
          </a:p>
        </c:txPr>
        <c:crossAx val="-2093778888"/>
        <c:crosses val="autoZero"/>
        <c:auto val="1"/>
        <c:lblAlgn val="ctr"/>
        <c:lblOffset val="100"/>
        <c:noMultiLvlLbl val="0"/>
      </c:catAx>
      <c:valAx>
        <c:axId val="-2093778888"/>
        <c:scaling>
          <c:orientation val="minMax"/>
          <c:max val="100.0"/>
        </c:scaling>
        <c:delete val="0"/>
        <c:axPos val="l"/>
        <c:majorGridlines/>
        <c:numFmt formatCode="General" sourceLinked="1"/>
        <c:majorTickMark val="out"/>
        <c:minorTickMark val="none"/>
        <c:tickLblPos val="nextTo"/>
        <c:crossAx val="-2093785112"/>
        <c:crosses val="autoZero"/>
        <c:crossBetween val="between"/>
      </c:valAx>
    </c:plotArea>
    <c:legend>
      <c:legendPos val="b"/>
      <c:layout/>
      <c:overlay val="0"/>
    </c:legend>
    <c:plotVisOnly val="1"/>
    <c:dispBlanksAs val="gap"/>
    <c:showDLblsOverMax val="0"/>
  </c:chart>
  <c:spPr>
    <a:ln>
      <a:noFill/>
    </a:ln>
  </c:spPr>
  <c:txPr>
    <a:bodyPr/>
    <a:lstStyle/>
    <a:p>
      <a:pPr>
        <a:defRPr sz="1000"/>
      </a:pPr>
      <a:endParaRPr lang="fr-F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stacked"/>
        <c:varyColors val="0"/>
        <c:ser>
          <c:idx val="5"/>
          <c:order val="0"/>
          <c:tx>
            <c:strRef>
              <c:f>'Gare Satis Billets'!$B$5</c:f>
              <c:strCache>
                <c:ptCount val="1"/>
                <c:pt idx="0">
                  <c:v>Très satisfait</c:v>
                </c:pt>
              </c:strCache>
            </c:strRef>
          </c:tx>
          <c:invertIfNegative val="0"/>
          <c:dLbls>
            <c:showLegendKey val="0"/>
            <c:showVal val="1"/>
            <c:showCatName val="0"/>
            <c:showSerName val="0"/>
            <c:showPercent val="0"/>
            <c:showBubbleSize val="0"/>
            <c:showLeaderLines val="0"/>
          </c:dLbls>
          <c:cat>
            <c:strRef>
              <c:f>'Gare Satis Billets'!$A$6:$A$32</c:f>
              <c:strCache>
                <c:ptCount val="27"/>
                <c:pt idx="0">
                  <c:v>Slovaquie</c:v>
                </c:pt>
                <c:pt idx="1">
                  <c:v>Roumanie</c:v>
                </c:pt>
                <c:pt idx="2">
                  <c:v>Suède</c:v>
                </c:pt>
                <c:pt idx="3">
                  <c:v>Estonie</c:v>
                </c:pt>
                <c:pt idx="4">
                  <c:v>Danemark</c:v>
                </c:pt>
                <c:pt idx="5">
                  <c:v>Espagne</c:v>
                </c:pt>
                <c:pt idx="6">
                  <c:v>Portugal</c:v>
                </c:pt>
                <c:pt idx="7">
                  <c:v>Pologne</c:v>
                </c:pt>
                <c:pt idx="8">
                  <c:v>Allemagne</c:v>
                </c:pt>
                <c:pt idx="9">
                  <c:v>Bulgarie</c:v>
                </c:pt>
                <c:pt idx="10">
                  <c:v>U E 26</c:v>
                </c:pt>
                <c:pt idx="11">
                  <c:v>Luxembourg</c:v>
                </c:pt>
                <c:pt idx="12">
                  <c:v>Italie</c:v>
                </c:pt>
                <c:pt idx="13">
                  <c:v>Belgique</c:v>
                </c:pt>
                <c:pt idx="14">
                  <c:v>Pays-Bas</c:v>
                </c:pt>
                <c:pt idx="15">
                  <c:v>Lettonie</c:v>
                </c:pt>
                <c:pt idx="16">
                  <c:v>Hongrie</c:v>
                </c:pt>
                <c:pt idx="17">
                  <c:v>Croatie</c:v>
                </c:pt>
                <c:pt idx="18">
                  <c:v>Rép. Tchèque</c:v>
                </c:pt>
                <c:pt idx="19">
                  <c:v>F R A N C E</c:v>
                </c:pt>
                <c:pt idx="20">
                  <c:v>Lituanie</c:v>
                </c:pt>
                <c:pt idx="21">
                  <c:v>Autriche</c:v>
                </c:pt>
                <c:pt idx="22">
                  <c:v>Finlande</c:v>
                </c:pt>
                <c:pt idx="23">
                  <c:v>Irlande</c:v>
                </c:pt>
                <c:pt idx="24">
                  <c:v>Slovénie</c:v>
                </c:pt>
                <c:pt idx="25">
                  <c:v>Royaume-Uni</c:v>
                </c:pt>
                <c:pt idx="26">
                  <c:v>Grèce</c:v>
                </c:pt>
              </c:strCache>
            </c:strRef>
          </c:cat>
          <c:val>
            <c:numRef>
              <c:f>'Gare Satis Billets'!$B$6:$B$32</c:f>
              <c:numCache>
                <c:formatCode>General</c:formatCode>
                <c:ptCount val="27"/>
                <c:pt idx="0">
                  <c:v>13.0</c:v>
                </c:pt>
                <c:pt idx="1">
                  <c:v>17.0</c:v>
                </c:pt>
                <c:pt idx="2">
                  <c:v>20.0</c:v>
                </c:pt>
                <c:pt idx="3">
                  <c:v>21.0</c:v>
                </c:pt>
                <c:pt idx="4">
                  <c:v>21.0</c:v>
                </c:pt>
                <c:pt idx="5">
                  <c:v>23.0</c:v>
                </c:pt>
                <c:pt idx="6">
                  <c:v>23.0</c:v>
                </c:pt>
                <c:pt idx="7">
                  <c:v>25.0</c:v>
                </c:pt>
                <c:pt idx="8">
                  <c:v>25.0</c:v>
                </c:pt>
                <c:pt idx="9">
                  <c:v>25.0</c:v>
                </c:pt>
                <c:pt idx="10">
                  <c:v>25.0</c:v>
                </c:pt>
                <c:pt idx="11">
                  <c:v>25.0</c:v>
                </c:pt>
                <c:pt idx="12">
                  <c:v>26.0</c:v>
                </c:pt>
                <c:pt idx="13">
                  <c:v>26.0</c:v>
                </c:pt>
                <c:pt idx="14">
                  <c:v>26.0</c:v>
                </c:pt>
                <c:pt idx="15">
                  <c:v>26.0</c:v>
                </c:pt>
                <c:pt idx="16">
                  <c:v>27.0</c:v>
                </c:pt>
                <c:pt idx="17">
                  <c:v>27.0</c:v>
                </c:pt>
                <c:pt idx="18">
                  <c:v>28.0</c:v>
                </c:pt>
                <c:pt idx="19">
                  <c:v>29.0</c:v>
                </c:pt>
                <c:pt idx="20">
                  <c:v>29.0</c:v>
                </c:pt>
                <c:pt idx="21">
                  <c:v>31.0</c:v>
                </c:pt>
                <c:pt idx="22">
                  <c:v>32.0</c:v>
                </c:pt>
                <c:pt idx="23">
                  <c:v>32.0</c:v>
                </c:pt>
                <c:pt idx="24">
                  <c:v>36.0</c:v>
                </c:pt>
                <c:pt idx="25">
                  <c:v>38.0</c:v>
                </c:pt>
                <c:pt idx="26">
                  <c:v>39.0</c:v>
                </c:pt>
              </c:numCache>
            </c:numRef>
          </c:val>
        </c:ser>
        <c:ser>
          <c:idx val="0"/>
          <c:order val="1"/>
          <c:tx>
            <c:strRef>
              <c:f>'Gare Satis Billets'!$C$5</c:f>
              <c:strCache>
                <c:ptCount val="1"/>
                <c:pt idx="0">
                  <c:v>Satisfait</c:v>
                </c:pt>
              </c:strCache>
            </c:strRef>
          </c:tx>
          <c:invertIfNegative val="0"/>
          <c:dLbls>
            <c:showLegendKey val="0"/>
            <c:showVal val="1"/>
            <c:showCatName val="0"/>
            <c:showSerName val="0"/>
            <c:showPercent val="0"/>
            <c:showBubbleSize val="0"/>
            <c:showLeaderLines val="0"/>
          </c:dLbls>
          <c:cat>
            <c:strRef>
              <c:f>'Gare Satis Billets'!$A$6:$A$32</c:f>
              <c:strCache>
                <c:ptCount val="27"/>
                <c:pt idx="0">
                  <c:v>Slovaquie</c:v>
                </c:pt>
                <c:pt idx="1">
                  <c:v>Roumanie</c:v>
                </c:pt>
                <c:pt idx="2">
                  <c:v>Suède</c:v>
                </c:pt>
                <c:pt idx="3">
                  <c:v>Estonie</c:v>
                </c:pt>
                <c:pt idx="4">
                  <c:v>Danemark</c:v>
                </c:pt>
                <c:pt idx="5">
                  <c:v>Espagne</c:v>
                </c:pt>
                <c:pt idx="6">
                  <c:v>Portugal</c:v>
                </c:pt>
                <c:pt idx="7">
                  <c:v>Pologne</c:v>
                </c:pt>
                <c:pt idx="8">
                  <c:v>Allemagne</c:v>
                </c:pt>
                <c:pt idx="9">
                  <c:v>Bulgarie</c:v>
                </c:pt>
                <c:pt idx="10">
                  <c:v>U E 26</c:v>
                </c:pt>
                <c:pt idx="11">
                  <c:v>Luxembourg</c:v>
                </c:pt>
                <c:pt idx="12">
                  <c:v>Italie</c:v>
                </c:pt>
                <c:pt idx="13">
                  <c:v>Belgique</c:v>
                </c:pt>
                <c:pt idx="14">
                  <c:v>Pays-Bas</c:v>
                </c:pt>
                <c:pt idx="15">
                  <c:v>Lettonie</c:v>
                </c:pt>
                <c:pt idx="16">
                  <c:v>Hongrie</c:v>
                </c:pt>
                <c:pt idx="17">
                  <c:v>Croatie</c:v>
                </c:pt>
                <c:pt idx="18">
                  <c:v>Rép. Tchèque</c:v>
                </c:pt>
                <c:pt idx="19">
                  <c:v>F R A N C E</c:v>
                </c:pt>
                <c:pt idx="20">
                  <c:v>Lituanie</c:v>
                </c:pt>
                <c:pt idx="21">
                  <c:v>Autriche</c:v>
                </c:pt>
                <c:pt idx="22">
                  <c:v>Finlande</c:v>
                </c:pt>
                <c:pt idx="23">
                  <c:v>Irlande</c:v>
                </c:pt>
                <c:pt idx="24">
                  <c:v>Slovénie</c:v>
                </c:pt>
                <c:pt idx="25">
                  <c:v>Royaume-Uni</c:v>
                </c:pt>
                <c:pt idx="26">
                  <c:v>Grèce</c:v>
                </c:pt>
              </c:strCache>
            </c:strRef>
          </c:cat>
          <c:val>
            <c:numRef>
              <c:f>'Gare Satis Billets'!$C$6:$C$32</c:f>
              <c:numCache>
                <c:formatCode>General</c:formatCode>
                <c:ptCount val="27"/>
                <c:pt idx="0">
                  <c:v>50.0</c:v>
                </c:pt>
                <c:pt idx="1">
                  <c:v>35.0</c:v>
                </c:pt>
                <c:pt idx="2">
                  <c:v>42.0</c:v>
                </c:pt>
                <c:pt idx="3">
                  <c:v>39.0</c:v>
                </c:pt>
                <c:pt idx="4">
                  <c:v>41.0</c:v>
                </c:pt>
                <c:pt idx="5">
                  <c:v>42.0</c:v>
                </c:pt>
                <c:pt idx="6">
                  <c:v>40.0</c:v>
                </c:pt>
                <c:pt idx="7">
                  <c:v>42.0</c:v>
                </c:pt>
                <c:pt idx="8">
                  <c:v>34.0</c:v>
                </c:pt>
                <c:pt idx="9">
                  <c:v>16.0</c:v>
                </c:pt>
                <c:pt idx="10">
                  <c:v>48.0</c:v>
                </c:pt>
                <c:pt idx="11">
                  <c:v>36.0</c:v>
                </c:pt>
                <c:pt idx="12">
                  <c:v>49.0</c:v>
                </c:pt>
                <c:pt idx="13">
                  <c:v>54.0</c:v>
                </c:pt>
                <c:pt idx="14">
                  <c:v>47.0</c:v>
                </c:pt>
                <c:pt idx="15">
                  <c:v>38.0</c:v>
                </c:pt>
                <c:pt idx="16">
                  <c:v>32.0</c:v>
                </c:pt>
                <c:pt idx="17">
                  <c:v>26.0</c:v>
                </c:pt>
                <c:pt idx="18">
                  <c:v>30.0</c:v>
                </c:pt>
                <c:pt idx="19">
                  <c:v>48.0</c:v>
                </c:pt>
                <c:pt idx="20">
                  <c:v>35.0</c:v>
                </c:pt>
                <c:pt idx="21">
                  <c:v>37.0</c:v>
                </c:pt>
                <c:pt idx="22">
                  <c:v>39.0</c:v>
                </c:pt>
                <c:pt idx="23">
                  <c:v>43.0</c:v>
                </c:pt>
                <c:pt idx="24">
                  <c:v>36.0</c:v>
                </c:pt>
                <c:pt idx="25">
                  <c:v>39.0</c:v>
                </c:pt>
                <c:pt idx="26">
                  <c:v>39.0</c:v>
                </c:pt>
              </c:numCache>
            </c:numRef>
          </c:val>
        </c:ser>
        <c:ser>
          <c:idx val="1"/>
          <c:order val="2"/>
          <c:tx>
            <c:strRef>
              <c:f>'Gare Satis Billets'!$D$5</c:f>
              <c:strCache>
                <c:ptCount val="1"/>
                <c:pt idx="0">
                  <c:v>Insatisfait</c:v>
                </c:pt>
              </c:strCache>
            </c:strRef>
          </c:tx>
          <c:invertIfNegative val="0"/>
          <c:dLbls>
            <c:showLegendKey val="0"/>
            <c:showVal val="1"/>
            <c:showCatName val="0"/>
            <c:showSerName val="0"/>
            <c:showPercent val="0"/>
            <c:showBubbleSize val="0"/>
            <c:showLeaderLines val="0"/>
          </c:dLbls>
          <c:cat>
            <c:strRef>
              <c:f>'Gare Satis Billets'!$A$6:$A$32</c:f>
              <c:strCache>
                <c:ptCount val="27"/>
                <c:pt idx="0">
                  <c:v>Slovaquie</c:v>
                </c:pt>
                <c:pt idx="1">
                  <c:v>Roumanie</c:v>
                </c:pt>
                <c:pt idx="2">
                  <c:v>Suède</c:v>
                </c:pt>
                <c:pt idx="3">
                  <c:v>Estonie</c:v>
                </c:pt>
                <c:pt idx="4">
                  <c:v>Danemark</c:v>
                </c:pt>
                <c:pt idx="5">
                  <c:v>Espagne</c:v>
                </c:pt>
                <c:pt idx="6">
                  <c:v>Portugal</c:v>
                </c:pt>
                <c:pt idx="7">
                  <c:v>Pologne</c:v>
                </c:pt>
                <c:pt idx="8">
                  <c:v>Allemagne</c:v>
                </c:pt>
                <c:pt idx="9">
                  <c:v>Bulgarie</c:v>
                </c:pt>
                <c:pt idx="10">
                  <c:v>U E 26</c:v>
                </c:pt>
                <c:pt idx="11">
                  <c:v>Luxembourg</c:v>
                </c:pt>
                <c:pt idx="12">
                  <c:v>Italie</c:v>
                </c:pt>
                <c:pt idx="13">
                  <c:v>Belgique</c:v>
                </c:pt>
                <c:pt idx="14">
                  <c:v>Pays-Bas</c:v>
                </c:pt>
                <c:pt idx="15">
                  <c:v>Lettonie</c:v>
                </c:pt>
                <c:pt idx="16">
                  <c:v>Hongrie</c:v>
                </c:pt>
                <c:pt idx="17">
                  <c:v>Croatie</c:v>
                </c:pt>
                <c:pt idx="18">
                  <c:v>Rép. Tchèque</c:v>
                </c:pt>
                <c:pt idx="19">
                  <c:v>F R A N C E</c:v>
                </c:pt>
                <c:pt idx="20">
                  <c:v>Lituanie</c:v>
                </c:pt>
                <c:pt idx="21">
                  <c:v>Autriche</c:v>
                </c:pt>
                <c:pt idx="22">
                  <c:v>Finlande</c:v>
                </c:pt>
                <c:pt idx="23">
                  <c:v>Irlande</c:v>
                </c:pt>
                <c:pt idx="24">
                  <c:v>Slovénie</c:v>
                </c:pt>
                <c:pt idx="25">
                  <c:v>Royaume-Uni</c:v>
                </c:pt>
                <c:pt idx="26">
                  <c:v>Grèce</c:v>
                </c:pt>
              </c:strCache>
            </c:strRef>
          </c:cat>
          <c:val>
            <c:numRef>
              <c:f>'Gare Satis Billets'!$D$6:$D$32</c:f>
              <c:numCache>
                <c:formatCode>General</c:formatCode>
                <c:ptCount val="27"/>
                <c:pt idx="0">
                  <c:v>10.0</c:v>
                </c:pt>
                <c:pt idx="1">
                  <c:v>23.0</c:v>
                </c:pt>
                <c:pt idx="2">
                  <c:v>7.0</c:v>
                </c:pt>
                <c:pt idx="3">
                  <c:v>8.0</c:v>
                </c:pt>
                <c:pt idx="4">
                  <c:v>11.0</c:v>
                </c:pt>
                <c:pt idx="5">
                  <c:v>12.0</c:v>
                </c:pt>
                <c:pt idx="6">
                  <c:v>13.0</c:v>
                </c:pt>
                <c:pt idx="7">
                  <c:v>11.0</c:v>
                </c:pt>
                <c:pt idx="8">
                  <c:v>14.0</c:v>
                </c:pt>
                <c:pt idx="9">
                  <c:v>2.0</c:v>
                </c:pt>
                <c:pt idx="10">
                  <c:v>7.0</c:v>
                </c:pt>
                <c:pt idx="11">
                  <c:v>5.0</c:v>
                </c:pt>
                <c:pt idx="12">
                  <c:v>9.0</c:v>
                </c:pt>
                <c:pt idx="13">
                  <c:v>11.0</c:v>
                </c:pt>
                <c:pt idx="14">
                  <c:v>4.0</c:v>
                </c:pt>
                <c:pt idx="15">
                  <c:v>10.0</c:v>
                </c:pt>
                <c:pt idx="16">
                  <c:v>7.0</c:v>
                </c:pt>
                <c:pt idx="17">
                  <c:v>1.0</c:v>
                </c:pt>
                <c:pt idx="18">
                  <c:v>7.0</c:v>
                </c:pt>
                <c:pt idx="19">
                  <c:v>5.0</c:v>
                </c:pt>
                <c:pt idx="20">
                  <c:v>16.0</c:v>
                </c:pt>
                <c:pt idx="21">
                  <c:v>5.0</c:v>
                </c:pt>
                <c:pt idx="22">
                  <c:v>10.0</c:v>
                </c:pt>
                <c:pt idx="23">
                  <c:v>10.0</c:v>
                </c:pt>
                <c:pt idx="24">
                  <c:v>5.0</c:v>
                </c:pt>
                <c:pt idx="25">
                  <c:v>6.0</c:v>
                </c:pt>
                <c:pt idx="26">
                  <c:v>7.0</c:v>
                </c:pt>
              </c:numCache>
            </c:numRef>
          </c:val>
        </c:ser>
        <c:ser>
          <c:idx val="2"/>
          <c:order val="3"/>
          <c:tx>
            <c:strRef>
              <c:f>'Gare Satis Billets'!$E$5</c:f>
              <c:strCache>
                <c:ptCount val="1"/>
                <c:pt idx="0">
                  <c:v>Très mécontent</c:v>
                </c:pt>
              </c:strCache>
            </c:strRef>
          </c:tx>
          <c:invertIfNegative val="0"/>
          <c:dLbls>
            <c:showLegendKey val="0"/>
            <c:showVal val="1"/>
            <c:showCatName val="0"/>
            <c:showSerName val="0"/>
            <c:showPercent val="0"/>
            <c:showBubbleSize val="0"/>
            <c:showLeaderLines val="0"/>
          </c:dLbls>
          <c:cat>
            <c:strRef>
              <c:f>'Gare Satis Billets'!$A$6:$A$32</c:f>
              <c:strCache>
                <c:ptCount val="27"/>
                <c:pt idx="0">
                  <c:v>Slovaquie</c:v>
                </c:pt>
                <c:pt idx="1">
                  <c:v>Roumanie</c:v>
                </c:pt>
                <c:pt idx="2">
                  <c:v>Suède</c:v>
                </c:pt>
                <c:pt idx="3">
                  <c:v>Estonie</c:v>
                </c:pt>
                <c:pt idx="4">
                  <c:v>Danemark</c:v>
                </c:pt>
                <c:pt idx="5">
                  <c:v>Espagne</c:v>
                </c:pt>
                <c:pt idx="6">
                  <c:v>Portugal</c:v>
                </c:pt>
                <c:pt idx="7">
                  <c:v>Pologne</c:v>
                </c:pt>
                <c:pt idx="8">
                  <c:v>Allemagne</c:v>
                </c:pt>
                <c:pt idx="9">
                  <c:v>Bulgarie</c:v>
                </c:pt>
                <c:pt idx="10">
                  <c:v>U E 26</c:v>
                </c:pt>
                <c:pt idx="11">
                  <c:v>Luxembourg</c:v>
                </c:pt>
                <c:pt idx="12">
                  <c:v>Italie</c:v>
                </c:pt>
                <c:pt idx="13">
                  <c:v>Belgique</c:v>
                </c:pt>
                <c:pt idx="14">
                  <c:v>Pays-Bas</c:v>
                </c:pt>
                <c:pt idx="15">
                  <c:v>Lettonie</c:v>
                </c:pt>
                <c:pt idx="16">
                  <c:v>Hongrie</c:v>
                </c:pt>
                <c:pt idx="17">
                  <c:v>Croatie</c:v>
                </c:pt>
                <c:pt idx="18">
                  <c:v>Rép. Tchèque</c:v>
                </c:pt>
                <c:pt idx="19">
                  <c:v>F R A N C E</c:v>
                </c:pt>
                <c:pt idx="20">
                  <c:v>Lituanie</c:v>
                </c:pt>
                <c:pt idx="21">
                  <c:v>Autriche</c:v>
                </c:pt>
                <c:pt idx="22">
                  <c:v>Finlande</c:v>
                </c:pt>
                <c:pt idx="23">
                  <c:v>Irlande</c:v>
                </c:pt>
                <c:pt idx="24">
                  <c:v>Slovénie</c:v>
                </c:pt>
                <c:pt idx="25">
                  <c:v>Royaume-Uni</c:v>
                </c:pt>
                <c:pt idx="26">
                  <c:v>Grèce</c:v>
                </c:pt>
              </c:strCache>
            </c:strRef>
          </c:cat>
          <c:val>
            <c:numRef>
              <c:f>'Gare Satis Billets'!$E$6:$E$32</c:f>
              <c:numCache>
                <c:formatCode>General</c:formatCode>
                <c:ptCount val="27"/>
                <c:pt idx="0">
                  <c:v>4.0</c:v>
                </c:pt>
                <c:pt idx="1">
                  <c:v>14.0</c:v>
                </c:pt>
                <c:pt idx="2">
                  <c:v>3.0</c:v>
                </c:pt>
                <c:pt idx="3">
                  <c:v>2.0</c:v>
                </c:pt>
                <c:pt idx="4">
                  <c:v>3.0</c:v>
                </c:pt>
                <c:pt idx="5">
                  <c:v>9.0</c:v>
                </c:pt>
                <c:pt idx="6">
                  <c:v>8.0</c:v>
                </c:pt>
                <c:pt idx="7">
                  <c:v>6.0</c:v>
                </c:pt>
                <c:pt idx="8">
                  <c:v>7.0</c:v>
                </c:pt>
                <c:pt idx="9">
                  <c:v>0.0</c:v>
                </c:pt>
                <c:pt idx="10">
                  <c:v>4.0</c:v>
                </c:pt>
                <c:pt idx="11">
                  <c:v>3.0</c:v>
                </c:pt>
                <c:pt idx="12">
                  <c:v>2.0</c:v>
                </c:pt>
                <c:pt idx="13">
                  <c:v>3.0</c:v>
                </c:pt>
                <c:pt idx="14">
                  <c:v>1.0</c:v>
                </c:pt>
                <c:pt idx="15">
                  <c:v>8.0</c:v>
                </c:pt>
                <c:pt idx="16">
                  <c:v>4.0</c:v>
                </c:pt>
                <c:pt idx="17">
                  <c:v>0.0</c:v>
                </c:pt>
                <c:pt idx="18">
                  <c:v>3.0</c:v>
                </c:pt>
                <c:pt idx="19">
                  <c:v>1.0</c:v>
                </c:pt>
                <c:pt idx="20">
                  <c:v>8.0</c:v>
                </c:pt>
                <c:pt idx="21">
                  <c:v>1.0</c:v>
                </c:pt>
                <c:pt idx="22">
                  <c:v>3.0</c:v>
                </c:pt>
                <c:pt idx="23">
                  <c:v>3.0</c:v>
                </c:pt>
                <c:pt idx="24">
                  <c:v>5.0</c:v>
                </c:pt>
                <c:pt idx="25">
                  <c:v>3.0</c:v>
                </c:pt>
                <c:pt idx="26">
                  <c:v>3.0</c:v>
                </c:pt>
              </c:numCache>
            </c:numRef>
          </c:val>
        </c:ser>
        <c:dLbls>
          <c:showLegendKey val="0"/>
          <c:showVal val="0"/>
          <c:showCatName val="0"/>
          <c:showSerName val="0"/>
          <c:showPercent val="0"/>
          <c:showBubbleSize val="0"/>
        </c:dLbls>
        <c:gapWidth val="150"/>
        <c:overlap val="100"/>
        <c:axId val="-2065827656"/>
        <c:axId val="-2065824328"/>
      </c:barChart>
      <c:catAx>
        <c:axId val="-2065827656"/>
        <c:scaling>
          <c:orientation val="minMax"/>
        </c:scaling>
        <c:delete val="0"/>
        <c:axPos val="b"/>
        <c:majorTickMark val="out"/>
        <c:minorTickMark val="none"/>
        <c:tickLblPos val="nextTo"/>
        <c:txPr>
          <a:bodyPr rot="-5400000" vert="horz"/>
          <a:lstStyle/>
          <a:p>
            <a:pPr>
              <a:defRPr/>
            </a:pPr>
            <a:endParaRPr lang="fr-FR"/>
          </a:p>
        </c:txPr>
        <c:crossAx val="-2065824328"/>
        <c:crosses val="autoZero"/>
        <c:auto val="1"/>
        <c:lblAlgn val="ctr"/>
        <c:lblOffset val="100"/>
        <c:noMultiLvlLbl val="0"/>
      </c:catAx>
      <c:valAx>
        <c:axId val="-2065824328"/>
        <c:scaling>
          <c:orientation val="minMax"/>
          <c:max val="100.0"/>
        </c:scaling>
        <c:delete val="0"/>
        <c:axPos val="l"/>
        <c:majorGridlines/>
        <c:numFmt formatCode="General" sourceLinked="1"/>
        <c:majorTickMark val="out"/>
        <c:minorTickMark val="none"/>
        <c:tickLblPos val="nextTo"/>
        <c:crossAx val="-2065827656"/>
        <c:crosses val="autoZero"/>
        <c:crossBetween val="between"/>
      </c:valAx>
    </c:plotArea>
    <c:legend>
      <c:legendPos val="b"/>
      <c:layout/>
      <c:overlay val="0"/>
    </c:legend>
    <c:plotVisOnly val="1"/>
    <c:dispBlanksAs val="gap"/>
    <c:showDLblsOverMax val="0"/>
  </c:chart>
  <c:spPr>
    <a:ln>
      <a:noFill/>
    </a:ln>
  </c:spPr>
  <c:txPr>
    <a:bodyPr/>
    <a:lstStyle/>
    <a:p>
      <a:pPr>
        <a:defRPr sz="1000"/>
      </a:pPr>
      <a:endParaRPr lang="fr-F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stacked"/>
        <c:varyColors val="0"/>
        <c:ser>
          <c:idx val="5"/>
          <c:order val="0"/>
          <c:tx>
            <c:strRef>
              <c:f>'Gares Réclamations'!$B$5</c:f>
              <c:strCache>
                <c:ptCount val="1"/>
                <c:pt idx="0">
                  <c:v>Très satisfait</c:v>
                </c:pt>
              </c:strCache>
            </c:strRef>
          </c:tx>
          <c:invertIfNegative val="0"/>
          <c:dLbls>
            <c:showLegendKey val="0"/>
            <c:showVal val="1"/>
            <c:showCatName val="0"/>
            <c:showSerName val="0"/>
            <c:showPercent val="0"/>
            <c:showBubbleSize val="0"/>
            <c:showLeaderLines val="0"/>
          </c:dLbls>
          <c:cat>
            <c:strRef>
              <c:f>'Gares Réclamations'!$A$6:$A$32</c:f>
              <c:strCache>
                <c:ptCount val="27"/>
                <c:pt idx="0">
                  <c:v>Estonie</c:v>
                </c:pt>
                <c:pt idx="1">
                  <c:v>Pologne</c:v>
                </c:pt>
                <c:pt idx="2">
                  <c:v>Bulgarie</c:v>
                </c:pt>
                <c:pt idx="3">
                  <c:v>Rép. Tchèque</c:v>
                </c:pt>
                <c:pt idx="4">
                  <c:v>Allemagne</c:v>
                </c:pt>
                <c:pt idx="5">
                  <c:v>Pays-Bas</c:v>
                </c:pt>
                <c:pt idx="6">
                  <c:v>Suède</c:v>
                </c:pt>
                <c:pt idx="7">
                  <c:v>Italie</c:v>
                </c:pt>
                <c:pt idx="8">
                  <c:v>Lettonie</c:v>
                </c:pt>
                <c:pt idx="9">
                  <c:v>Finlande</c:v>
                </c:pt>
                <c:pt idx="10">
                  <c:v>F R A N C E</c:v>
                </c:pt>
                <c:pt idx="11">
                  <c:v>Hongrie</c:v>
                </c:pt>
                <c:pt idx="12">
                  <c:v>Danemark</c:v>
                </c:pt>
                <c:pt idx="13">
                  <c:v>Lituanie</c:v>
                </c:pt>
                <c:pt idx="14">
                  <c:v>Croatie</c:v>
                </c:pt>
                <c:pt idx="15">
                  <c:v>U E 26</c:v>
                </c:pt>
                <c:pt idx="16">
                  <c:v>Grèce</c:v>
                </c:pt>
                <c:pt idx="17">
                  <c:v>Autriche</c:v>
                </c:pt>
                <c:pt idx="18">
                  <c:v>Roumanie</c:v>
                </c:pt>
                <c:pt idx="19">
                  <c:v>Slovaquie</c:v>
                </c:pt>
                <c:pt idx="20">
                  <c:v>Slovénie</c:v>
                </c:pt>
                <c:pt idx="21">
                  <c:v>Belgique</c:v>
                </c:pt>
                <c:pt idx="22">
                  <c:v>Espagne</c:v>
                </c:pt>
                <c:pt idx="23">
                  <c:v>Luxembourg</c:v>
                </c:pt>
                <c:pt idx="24">
                  <c:v>Irlande</c:v>
                </c:pt>
                <c:pt idx="25">
                  <c:v>Royaume-Uni</c:v>
                </c:pt>
                <c:pt idx="26">
                  <c:v>Portugal</c:v>
                </c:pt>
              </c:strCache>
            </c:strRef>
          </c:cat>
          <c:val>
            <c:numRef>
              <c:f>'Gares Réclamations'!$B$6:$B$32</c:f>
              <c:numCache>
                <c:formatCode>General</c:formatCode>
                <c:ptCount val="27"/>
                <c:pt idx="0">
                  <c:v>1.0</c:v>
                </c:pt>
                <c:pt idx="1">
                  <c:v>1.0</c:v>
                </c:pt>
                <c:pt idx="2">
                  <c:v>4.0</c:v>
                </c:pt>
                <c:pt idx="3">
                  <c:v>4.0</c:v>
                </c:pt>
                <c:pt idx="4">
                  <c:v>4.0</c:v>
                </c:pt>
                <c:pt idx="5">
                  <c:v>4.0</c:v>
                </c:pt>
                <c:pt idx="6">
                  <c:v>4.0</c:v>
                </c:pt>
                <c:pt idx="7">
                  <c:v>5.0</c:v>
                </c:pt>
                <c:pt idx="8">
                  <c:v>5.0</c:v>
                </c:pt>
                <c:pt idx="9">
                  <c:v>5.0</c:v>
                </c:pt>
                <c:pt idx="10">
                  <c:v>6.0</c:v>
                </c:pt>
                <c:pt idx="11">
                  <c:v>6.0</c:v>
                </c:pt>
                <c:pt idx="12">
                  <c:v>7.0</c:v>
                </c:pt>
                <c:pt idx="13">
                  <c:v>7.0</c:v>
                </c:pt>
                <c:pt idx="14">
                  <c:v>7.0</c:v>
                </c:pt>
                <c:pt idx="15">
                  <c:v>8.0</c:v>
                </c:pt>
                <c:pt idx="16">
                  <c:v>8.0</c:v>
                </c:pt>
                <c:pt idx="17">
                  <c:v>8.0</c:v>
                </c:pt>
                <c:pt idx="18">
                  <c:v>8.0</c:v>
                </c:pt>
                <c:pt idx="19">
                  <c:v>8.0</c:v>
                </c:pt>
                <c:pt idx="20">
                  <c:v>9.0</c:v>
                </c:pt>
                <c:pt idx="21">
                  <c:v>11.0</c:v>
                </c:pt>
                <c:pt idx="22">
                  <c:v>14.0</c:v>
                </c:pt>
                <c:pt idx="23">
                  <c:v>16.0</c:v>
                </c:pt>
                <c:pt idx="24">
                  <c:v>18.0</c:v>
                </c:pt>
                <c:pt idx="25">
                  <c:v>18.0</c:v>
                </c:pt>
                <c:pt idx="26">
                  <c:v>21.0</c:v>
                </c:pt>
              </c:numCache>
            </c:numRef>
          </c:val>
        </c:ser>
        <c:ser>
          <c:idx val="0"/>
          <c:order val="1"/>
          <c:tx>
            <c:strRef>
              <c:f>'Gares Réclamations'!$C$5</c:f>
              <c:strCache>
                <c:ptCount val="1"/>
                <c:pt idx="0">
                  <c:v>Satisfait</c:v>
                </c:pt>
              </c:strCache>
            </c:strRef>
          </c:tx>
          <c:invertIfNegative val="0"/>
          <c:dLbls>
            <c:showLegendKey val="0"/>
            <c:showVal val="1"/>
            <c:showCatName val="0"/>
            <c:showSerName val="0"/>
            <c:showPercent val="0"/>
            <c:showBubbleSize val="0"/>
            <c:showLeaderLines val="0"/>
          </c:dLbls>
          <c:cat>
            <c:strRef>
              <c:f>'Gares Réclamations'!$A$6:$A$32</c:f>
              <c:strCache>
                <c:ptCount val="27"/>
                <c:pt idx="0">
                  <c:v>Estonie</c:v>
                </c:pt>
                <c:pt idx="1">
                  <c:v>Pologne</c:v>
                </c:pt>
                <c:pt idx="2">
                  <c:v>Bulgarie</c:v>
                </c:pt>
                <c:pt idx="3">
                  <c:v>Rép. Tchèque</c:v>
                </c:pt>
                <c:pt idx="4">
                  <c:v>Allemagne</c:v>
                </c:pt>
                <c:pt idx="5">
                  <c:v>Pays-Bas</c:v>
                </c:pt>
                <c:pt idx="6">
                  <c:v>Suède</c:v>
                </c:pt>
                <c:pt idx="7">
                  <c:v>Italie</c:v>
                </c:pt>
                <c:pt idx="8">
                  <c:v>Lettonie</c:v>
                </c:pt>
                <c:pt idx="9">
                  <c:v>Finlande</c:v>
                </c:pt>
                <c:pt idx="10">
                  <c:v>F R A N C E</c:v>
                </c:pt>
                <c:pt idx="11">
                  <c:v>Hongrie</c:v>
                </c:pt>
                <c:pt idx="12">
                  <c:v>Danemark</c:v>
                </c:pt>
                <c:pt idx="13">
                  <c:v>Lituanie</c:v>
                </c:pt>
                <c:pt idx="14">
                  <c:v>Croatie</c:v>
                </c:pt>
                <c:pt idx="15">
                  <c:v>U E 26</c:v>
                </c:pt>
                <c:pt idx="16">
                  <c:v>Grèce</c:v>
                </c:pt>
                <c:pt idx="17">
                  <c:v>Autriche</c:v>
                </c:pt>
                <c:pt idx="18">
                  <c:v>Roumanie</c:v>
                </c:pt>
                <c:pt idx="19">
                  <c:v>Slovaquie</c:v>
                </c:pt>
                <c:pt idx="20">
                  <c:v>Slovénie</c:v>
                </c:pt>
                <c:pt idx="21">
                  <c:v>Belgique</c:v>
                </c:pt>
                <c:pt idx="22">
                  <c:v>Espagne</c:v>
                </c:pt>
                <c:pt idx="23">
                  <c:v>Luxembourg</c:v>
                </c:pt>
                <c:pt idx="24">
                  <c:v>Irlande</c:v>
                </c:pt>
                <c:pt idx="25">
                  <c:v>Royaume-Uni</c:v>
                </c:pt>
                <c:pt idx="26">
                  <c:v>Portugal</c:v>
                </c:pt>
              </c:strCache>
            </c:strRef>
          </c:cat>
          <c:val>
            <c:numRef>
              <c:f>'Gares Réclamations'!$C$6:$C$32</c:f>
              <c:numCache>
                <c:formatCode>General</c:formatCode>
                <c:ptCount val="27"/>
                <c:pt idx="0">
                  <c:v>5.0</c:v>
                </c:pt>
                <c:pt idx="1">
                  <c:v>20.0</c:v>
                </c:pt>
                <c:pt idx="2">
                  <c:v>17.0</c:v>
                </c:pt>
                <c:pt idx="3">
                  <c:v>18.0</c:v>
                </c:pt>
                <c:pt idx="4">
                  <c:v>28.0</c:v>
                </c:pt>
                <c:pt idx="5">
                  <c:v>22.0</c:v>
                </c:pt>
                <c:pt idx="6">
                  <c:v>22.0</c:v>
                </c:pt>
                <c:pt idx="7">
                  <c:v>18.0</c:v>
                </c:pt>
                <c:pt idx="8">
                  <c:v>31.0</c:v>
                </c:pt>
                <c:pt idx="9">
                  <c:v>33.0</c:v>
                </c:pt>
                <c:pt idx="10">
                  <c:v>49.0</c:v>
                </c:pt>
                <c:pt idx="11">
                  <c:v>25.0</c:v>
                </c:pt>
                <c:pt idx="12">
                  <c:v>16.0</c:v>
                </c:pt>
                <c:pt idx="13">
                  <c:v>12.0</c:v>
                </c:pt>
                <c:pt idx="14">
                  <c:v>24.0</c:v>
                </c:pt>
                <c:pt idx="15">
                  <c:v>29.0</c:v>
                </c:pt>
                <c:pt idx="16">
                  <c:v>29.0</c:v>
                </c:pt>
                <c:pt idx="17">
                  <c:v>23.0</c:v>
                </c:pt>
                <c:pt idx="18">
                  <c:v>26.0</c:v>
                </c:pt>
                <c:pt idx="19">
                  <c:v>20.0</c:v>
                </c:pt>
                <c:pt idx="20">
                  <c:v>16.0</c:v>
                </c:pt>
                <c:pt idx="21">
                  <c:v>38.0</c:v>
                </c:pt>
                <c:pt idx="22">
                  <c:v>36.0</c:v>
                </c:pt>
                <c:pt idx="23">
                  <c:v>36.0</c:v>
                </c:pt>
                <c:pt idx="24">
                  <c:v>36.0</c:v>
                </c:pt>
                <c:pt idx="25">
                  <c:v>37.0</c:v>
                </c:pt>
                <c:pt idx="26">
                  <c:v>20.0</c:v>
                </c:pt>
              </c:numCache>
            </c:numRef>
          </c:val>
        </c:ser>
        <c:ser>
          <c:idx val="1"/>
          <c:order val="2"/>
          <c:tx>
            <c:strRef>
              <c:f>'Gares Réclamations'!$D$5</c:f>
              <c:strCache>
                <c:ptCount val="1"/>
                <c:pt idx="0">
                  <c:v>Insatisfait</c:v>
                </c:pt>
              </c:strCache>
            </c:strRef>
          </c:tx>
          <c:invertIfNegative val="0"/>
          <c:dLbls>
            <c:showLegendKey val="0"/>
            <c:showVal val="1"/>
            <c:showCatName val="0"/>
            <c:showSerName val="0"/>
            <c:showPercent val="0"/>
            <c:showBubbleSize val="0"/>
            <c:showLeaderLines val="0"/>
          </c:dLbls>
          <c:cat>
            <c:strRef>
              <c:f>'Gares Réclamations'!$A$6:$A$32</c:f>
              <c:strCache>
                <c:ptCount val="27"/>
                <c:pt idx="0">
                  <c:v>Estonie</c:v>
                </c:pt>
                <c:pt idx="1">
                  <c:v>Pologne</c:v>
                </c:pt>
                <c:pt idx="2">
                  <c:v>Bulgarie</c:v>
                </c:pt>
                <c:pt idx="3">
                  <c:v>Rép. Tchèque</c:v>
                </c:pt>
                <c:pt idx="4">
                  <c:v>Allemagne</c:v>
                </c:pt>
                <c:pt idx="5">
                  <c:v>Pays-Bas</c:v>
                </c:pt>
                <c:pt idx="6">
                  <c:v>Suède</c:v>
                </c:pt>
                <c:pt idx="7">
                  <c:v>Italie</c:v>
                </c:pt>
                <c:pt idx="8">
                  <c:v>Lettonie</c:v>
                </c:pt>
                <c:pt idx="9">
                  <c:v>Finlande</c:v>
                </c:pt>
                <c:pt idx="10">
                  <c:v>F R A N C E</c:v>
                </c:pt>
                <c:pt idx="11">
                  <c:v>Hongrie</c:v>
                </c:pt>
                <c:pt idx="12">
                  <c:v>Danemark</c:v>
                </c:pt>
                <c:pt idx="13">
                  <c:v>Lituanie</c:v>
                </c:pt>
                <c:pt idx="14">
                  <c:v>Croatie</c:v>
                </c:pt>
                <c:pt idx="15">
                  <c:v>U E 26</c:v>
                </c:pt>
                <c:pt idx="16">
                  <c:v>Grèce</c:v>
                </c:pt>
                <c:pt idx="17">
                  <c:v>Autriche</c:v>
                </c:pt>
                <c:pt idx="18">
                  <c:v>Roumanie</c:v>
                </c:pt>
                <c:pt idx="19">
                  <c:v>Slovaquie</c:v>
                </c:pt>
                <c:pt idx="20">
                  <c:v>Slovénie</c:v>
                </c:pt>
                <c:pt idx="21">
                  <c:v>Belgique</c:v>
                </c:pt>
                <c:pt idx="22">
                  <c:v>Espagne</c:v>
                </c:pt>
                <c:pt idx="23">
                  <c:v>Luxembourg</c:v>
                </c:pt>
                <c:pt idx="24">
                  <c:v>Irlande</c:v>
                </c:pt>
                <c:pt idx="25">
                  <c:v>Royaume-Uni</c:v>
                </c:pt>
                <c:pt idx="26">
                  <c:v>Portugal</c:v>
                </c:pt>
              </c:strCache>
            </c:strRef>
          </c:cat>
          <c:val>
            <c:numRef>
              <c:f>'Gares Réclamations'!$D$6:$D$32</c:f>
              <c:numCache>
                <c:formatCode>General</c:formatCode>
                <c:ptCount val="27"/>
                <c:pt idx="0">
                  <c:v>2.0</c:v>
                </c:pt>
                <c:pt idx="1">
                  <c:v>10.0</c:v>
                </c:pt>
                <c:pt idx="2">
                  <c:v>12.0</c:v>
                </c:pt>
                <c:pt idx="3">
                  <c:v>6.0</c:v>
                </c:pt>
                <c:pt idx="4">
                  <c:v>17.0</c:v>
                </c:pt>
                <c:pt idx="5">
                  <c:v>9.0</c:v>
                </c:pt>
                <c:pt idx="6">
                  <c:v>11.0</c:v>
                </c:pt>
                <c:pt idx="7">
                  <c:v>18.0</c:v>
                </c:pt>
                <c:pt idx="8">
                  <c:v>4.0</c:v>
                </c:pt>
                <c:pt idx="9">
                  <c:v>7.0</c:v>
                </c:pt>
                <c:pt idx="10">
                  <c:v>14.0</c:v>
                </c:pt>
                <c:pt idx="11">
                  <c:v>8.0</c:v>
                </c:pt>
                <c:pt idx="12">
                  <c:v>7.0</c:v>
                </c:pt>
                <c:pt idx="13">
                  <c:v>2.0</c:v>
                </c:pt>
                <c:pt idx="14">
                  <c:v>8.0</c:v>
                </c:pt>
                <c:pt idx="15">
                  <c:v>12.0</c:v>
                </c:pt>
                <c:pt idx="16">
                  <c:v>15.0</c:v>
                </c:pt>
                <c:pt idx="17">
                  <c:v>11.0</c:v>
                </c:pt>
                <c:pt idx="18">
                  <c:v>18.0</c:v>
                </c:pt>
                <c:pt idx="19">
                  <c:v>9.0</c:v>
                </c:pt>
                <c:pt idx="20">
                  <c:v>6.0</c:v>
                </c:pt>
                <c:pt idx="21">
                  <c:v>8.0</c:v>
                </c:pt>
                <c:pt idx="22">
                  <c:v>10.0</c:v>
                </c:pt>
                <c:pt idx="23">
                  <c:v>5.0</c:v>
                </c:pt>
                <c:pt idx="24">
                  <c:v>9.0</c:v>
                </c:pt>
                <c:pt idx="25">
                  <c:v>6.0</c:v>
                </c:pt>
                <c:pt idx="26">
                  <c:v>9.0</c:v>
                </c:pt>
              </c:numCache>
            </c:numRef>
          </c:val>
        </c:ser>
        <c:ser>
          <c:idx val="2"/>
          <c:order val="3"/>
          <c:tx>
            <c:strRef>
              <c:f>'Gares Réclamations'!$E$5</c:f>
              <c:strCache>
                <c:ptCount val="1"/>
                <c:pt idx="0">
                  <c:v>Très mécontent</c:v>
                </c:pt>
              </c:strCache>
            </c:strRef>
          </c:tx>
          <c:invertIfNegative val="0"/>
          <c:dLbls>
            <c:showLegendKey val="0"/>
            <c:showVal val="1"/>
            <c:showCatName val="0"/>
            <c:showSerName val="0"/>
            <c:showPercent val="0"/>
            <c:showBubbleSize val="0"/>
            <c:showLeaderLines val="0"/>
          </c:dLbls>
          <c:cat>
            <c:strRef>
              <c:f>'Gares Réclamations'!$A$6:$A$32</c:f>
              <c:strCache>
                <c:ptCount val="27"/>
                <c:pt idx="0">
                  <c:v>Estonie</c:v>
                </c:pt>
                <c:pt idx="1">
                  <c:v>Pologne</c:v>
                </c:pt>
                <c:pt idx="2">
                  <c:v>Bulgarie</c:v>
                </c:pt>
                <c:pt idx="3">
                  <c:v>Rép. Tchèque</c:v>
                </c:pt>
                <c:pt idx="4">
                  <c:v>Allemagne</c:v>
                </c:pt>
                <c:pt idx="5">
                  <c:v>Pays-Bas</c:v>
                </c:pt>
                <c:pt idx="6">
                  <c:v>Suède</c:v>
                </c:pt>
                <c:pt idx="7">
                  <c:v>Italie</c:v>
                </c:pt>
                <c:pt idx="8">
                  <c:v>Lettonie</c:v>
                </c:pt>
                <c:pt idx="9">
                  <c:v>Finlande</c:v>
                </c:pt>
                <c:pt idx="10">
                  <c:v>F R A N C E</c:v>
                </c:pt>
                <c:pt idx="11">
                  <c:v>Hongrie</c:v>
                </c:pt>
                <c:pt idx="12">
                  <c:v>Danemark</c:v>
                </c:pt>
                <c:pt idx="13">
                  <c:v>Lituanie</c:v>
                </c:pt>
                <c:pt idx="14">
                  <c:v>Croatie</c:v>
                </c:pt>
                <c:pt idx="15">
                  <c:v>U E 26</c:v>
                </c:pt>
                <c:pt idx="16">
                  <c:v>Grèce</c:v>
                </c:pt>
                <c:pt idx="17">
                  <c:v>Autriche</c:v>
                </c:pt>
                <c:pt idx="18">
                  <c:v>Roumanie</c:v>
                </c:pt>
                <c:pt idx="19">
                  <c:v>Slovaquie</c:v>
                </c:pt>
                <c:pt idx="20">
                  <c:v>Slovénie</c:v>
                </c:pt>
                <c:pt idx="21">
                  <c:v>Belgique</c:v>
                </c:pt>
                <c:pt idx="22">
                  <c:v>Espagne</c:v>
                </c:pt>
                <c:pt idx="23">
                  <c:v>Luxembourg</c:v>
                </c:pt>
                <c:pt idx="24">
                  <c:v>Irlande</c:v>
                </c:pt>
                <c:pt idx="25">
                  <c:v>Royaume-Uni</c:v>
                </c:pt>
                <c:pt idx="26">
                  <c:v>Portugal</c:v>
                </c:pt>
              </c:strCache>
            </c:strRef>
          </c:cat>
          <c:val>
            <c:numRef>
              <c:f>'Gares Réclamations'!$E$6:$E$32</c:f>
              <c:numCache>
                <c:formatCode>General</c:formatCode>
                <c:ptCount val="27"/>
                <c:pt idx="0">
                  <c:v>0.0</c:v>
                </c:pt>
                <c:pt idx="1">
                  <c:v>5.0</c:v>
                </c:pt>
                <c:pt idx="2">
                  <c:v>9.0</c:v>
                </c:pt>
                <c:pt idx="3">
                  <c:v>1.0</c:v>
                </c:pt>
                <c:pt idx="4">
                  <c:v>7.0</c:v>
                </c:pt>
                <c:pt idx="5">
                  <c:v>6.0</c:v>
                </c:pt>
                <c:pt idx="6">
                  <c:v>5.0</c:v>
                </c:pt>
                <c:pt idx="7">
                  <c:v>13.0</c:v>
                </c:pt>
                <c:pt idx="8">
                  <c:v>2.0</c:v>
                </c:pt>
                <c:pt idx="9">
                  <c:v>3.0</c:v>
                </c:pt>
                <c:pt idx="10">
                  <c:v>5.0</c:v>
                </c:pt>
                <c:pt idx="11">
                  <c:v>5.0</c:v>
                </c:pt>
                <c:pt idx="12">
                  <c:v>5.0</c:v>
                </c:pt>
                <c:pt idx="13">
                  <c:v>1.0</c:v>
                </c:pt>
                <c:pt idx="14">
                  <c:v>7.0</c:v>
                </c:pt>
                <c:pt idx="15">
                  <c:v>6.0</c:v>
                </c:pt>
                <c:pt idx="16">
                  <c:v>6.0</c:v>
                </c:pt>
                <c:pt idx="17">
                  <c:v>5.0</c:v>
                </c:pt>
                <c:pt idx="18">
                  <c:v>8.0</c:v>
                </c:pt>
                <c:pt idx="19">
                  <c:v>4.0</c:v>
                </c:pt>
                <c:pt idx="20">
                  <c:v>4.0</c:v>
                </c:pt>
                <c:pt idx="21">
                  <c:v>2.0</c:v>
                </c:pt>
                <c:pt idx="22">
                  <c:v>6.0</c:v>
                </c:pt>
                <c:pt idx="23">
                  <c:v>3.0</c:v>
                </c:pt>
                <c:pt idx="24">
                  <c:v>4.0</c:v>
                </c:pt>
                <c:pt idx="25">
                  <c:v>2.0</c:v>
                </c:pt>
                <c:pt idx="26">
                  <c:v>7.0</c:v>
                </c:pt>
              </c:numCache>
            </c:numRef>
          </c:val>
        </c:ser>
        <c:dLbls>
          <c:showLegendKey val="0"/>
          <c:showVal val="0"/>
          <c:showCatName val="0"/>
          <c:showSerName val="0"/>
          <c:showPercent val="0"/>
          <c:showBubbleSize val="0"/>
        </c:dLbls>
        <c:gapWidth val="150"/>
        <c:overlap val="100"/>
        <c:axId val="-2059626504"/>
        <c:axId val="-2059623336"/>
      </c:barChart>
      <c:catAx>
        <c:axId val="-2059626504"/>
        <c:scaling>
          <c:orientation val="minMax"/>
        </c:scaling>
        <c:delete val="0"/>
        <c:axPos val="b"/>
        <c:majorTickMark val="out"/>
        <c:minorTickMark val="none"/>
        <c:tickLblPos val="nextTo"/>
        <c:txPr>
          <a:bodyPr rot="-5400000" vert="horz"/>
          <a:lstStyle/>
          <a:p>
            <a:pPr>
              <a:defRPr/>
            </a:pPr>
            <a:endParaRPr lang="fr-FR"/>
          </a:p>
        </c:txPr>
        <c:crossAx val="-2059623336"/>
        <c:crosses val="autoZero"/>
        <c:auto val="1"/>
        <c:lblAlgn val="ctr"/>
        <c:lblOffset val="100"/>
        <c:noMultiLvlLbl val="0"/>
      </c:catAx>
      <c:valAx>
        <c:axId val="-2059623336"/>
        <c:scaling>
          <c:orientation val="minMax"/>
          <c:max val="100.0"/>
        </c:scaling>
        <c:delete val="0"/>
        <c:axPos val="l"/>
        <c:majorGridlines/>
        <c:numFmt formatCode="General" sourceLinked="1"/>
        <c:majorTickMark val="out"/>
        <c:minorTickMark val="none"/>
        <c:tickLblPos val="nextTo"/>
        <c:crossAx val="-2059626504"/>
        <c:crosses val="autoZero"/>
        <c:crossBetween val="between"/>
      </c:valAx>
    </c:plotArea>
    <c:legend>
      <c:legendPos val="b"/>
      <c:layout/>
      <c:overlay val="0"/>
    </c:legend>
    <c:plotVisOnly val="1"/>
    <c:dispBlanksAs val="gap"/>
    <c:showDLblsOverMax val="0"/>
  </c:chart>
  <c:spPr>
    <a:ln>
      <a:noFill/>
    </a:ln>
  </c:spPr>
  <c:txPr>
    <a:bodyPr/>
    <a:lstStyle/>
    <a:p>
      <a:pPr>
        <a:defRPr sz="1000"/>
      </a:pPr>
      <a:endParaRPr lang="fr-F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stacked"/>
        <c:varyColors val="0"/>
        <c:ser>
          <c:idx val="5"/>
          <c:order val="0"/>
          <c:tx>
            <c:strRef>
              <c:f>Propreté!$B$5</c:f>
              <c:strCache>
                <c:ptCount val="1"/>
                <c:pt idx="0">
                  <c:v>Très satisfait</c:v>
                </c:pt>
              </c:strCache>
            </c:strRef>
          </c:tx>
          <c:invertIfNegative val="0"/>
          <c:dLbls>
            <c:showLegendKey val="0"/>
            <c:showVal val="1"/>
            <c:showCatName val="0"/>
            <c:showSerName val="0"/>
            <c:showPercent val="0"/>
            <c:showBubbleSize val="0"/>
            <c:showLeaderLines val="0"/>
          </c:dLbls>
          <c:cat>
            <c:strRef>
              <c:f>Propreté!$A$6:$A$32</c:f>
              <c:strCache>
                <c:ptCount val="27"/>
                <c:pt idx="0">
                  <c:v>Italie</c:v>
                </c:pt>
                <c:pt idx="1">
                  <c:v>Pologne</c:v>
                </c:pt>
                <c:pt idx="2">
                  <c:v>Bulgarie</c:v>
                </c:pt>
                <c:pt idx="3">
                  <c:v>Hongrie</c:v>
                </c:pt>
                <c:pt idx="4">
                  <c:v>Roumanie</c:v>
                </c:pt>
                <c:pt idx="5">
                  <c:v>Rép. Tchèque</c:v>
                </c:pt>
                <c:pt idx="6">
                  <c:v>Slovaquie</c:v>
                </c:pt>
                <c:pt idx="7">
                  <c:v>Allemagne</c:v>
                </c:pt>
                <c:pt idx="8">
                  <c:v>F R A N C E</c:v>
                </c:pt>
                <c:pt idx="9">
                  <c:v>Danemark</c:v>
                </c:pt>
                <c:pt idx="10">
                  <c:v>Estonie</c:v>
                </c:pt>
                <c:pt idx="11">
                  <c:v>Croatie</c:v>
                </c:pt>
                <c:pt idx="12">
                  <c:v>U E 26</c:v>
                </c:pt>
                <c:pt idx="13">
                  <c:v>Belgique</c:v>
                </c:pt>
                <c:pt idx="14">
                  <c:v>Grèce</c:v>
                </c:pt>
                <c:pt idx="15">
                  <c:v>Slovénie</c:v>
                </c:pt>
                <c:pt idx="16">
                  <c:v>Lettonie</c:v>
                </c:pt>
                <c:pt idx="17">
                  <c:v>Pays-Bas</c:v>
                </c:pt>
                <c:pt idx="18">
                  <c:v>Finlande</c:v>
                </c:pt>
                <c:pt idx="19">
                  <c:v>Suède</c:v>
                </c:pt>
                <c:pt idx="20">
                  <c:v>Espagne</c:v>
                </c:pt>
                <c:pt idx="21">
                  <c:v>Lituanie</c:v>
                </c:pt>
                <c:pt idx="22">
                  <c:v>Luxembourg</c:v>
                </c:pt>
                <c:pt idx="23">
                  <c:v>Autriche</c:v>
                </c:pt>
                <c:pt idx="24">
                  <c:v>Royaume-Uni</c:v>
                </c:pt>
                <c:pt idx="25">
                  <c:v>Irlande</c:v>
                </c:pt>
                <c:pt idx="26">
                  <c:v>Portugal</c:v>
                </c:pt>
              </c:strCache>
            </c:strRef>
          </c:cat>
          <c:val>
            <c:numRef>
              <c:f>Propreté!$B$6:$B$32</c:f>
              <c:numCache>
                <c:formatCode>General</c:formatCode>
                <c:ptCount val="27"/>
                <c:pt idx="0">
                  <c:v>4.0</c:v>
                </c:pt>
                <c:pt idx="1">
                  <c:v>4.0</c:v>
                </c:pt>
                <c:pt idx="2">
                  <c:v>6.0</c:v>
                </c:pt>
                <c:pt idx="3">
                  <c:v>6.0</c:v>
                </c:pt>
                <c:pt idx="4">
                  <c:v>6.0</c:v>
                </c:pt>
                <c:pt idx="5">
                  <c:v>7.0</c:v>
                </c:pt>
                <c:pt idx="6">
                  <c:v>7.0</c:v>
                </c:pt>
                <c:pt idx="7">
                  <c:v>9.0</c:v>
                </c:pt>
                <c:pt idx="8">
                  <c:v>9.0</c:v>
                </c:pt>
                <c:pt idx="9">
                  <c:v>10.0</c:v>
                </c:pt>
                <c:pt idx="10">
                  <c:v>10.0</c:v>
                </c:pt>
                <c:pt idx="11">
                  <c:v>11.0</c:v>
                </c:pt>
                <c:pt idx="12">
                  <c:v>12.0</c:v>
                </c:pt>
                <c:pt idx="13">
                  <c:v>13.0</c:v>
                </c:pt>
                <c:pt idx="14">
                  <c:v>13.0</c:v>
                </c:pt>
                <c:pt idx="15">
                  <c:v>13.0</c:v>
                </c:pt>
                <c:pt idx="16">
                  <c:v>14.0</c:v>
                </c:pt>
                <c:pt idx="17">
                  <c:v>14.0</c:v>
                </c:pt>
                <c:pt idx="18">
                  <c:v>15.0</c:v>
                </c:pt>
                <c:pt idx="19">
                  <c:v>17.0</c:v>
                </c:pt>
                <c:pt idx="20">
                  <c:v>18.0</c:v>
                </c:pt>
                <c:pt idx="21">
                  <c:v>24.0</c:v>
                </c:pt>
                <c:pt idx="22">
                  <c:v>25.0</c:v>
                </c:pt>
                <c:pt idx="23">
                  <c:v>26.0</c:v>
                </c:pt>
                <c:pt idx="24">
                  <c:v>26.0</c:v>
                </c:pt>
                <c:pt idx="25">
                  <c:v>31.0</c:v>
                </c:pt>
                <c:pt idx="26">
                  <c:v>33.0</c:v>
                </c:pt>
              </c:numCache>
            </c:numRef>
          </c:val>
        </c:ser>
        <c:ser>
          <c:idx val="0"/>
          <c:order val="1"/>
          <c:tx>
            <c:strRef>
              <c:f>Propreté!$C$5</c:f>
              <c:strCache>
                <c:ptCount val="1"/>
                <c:pt idx="0">
                  <c:v>Satisfait</c:v>
                </c:pt>
              </c:strCache>
            </c:strRef>
          </c:tx>
          <c:invertIfNegative val="0"/>
          <c:dLbls>
            <c:showLegendKey val="0"/>
            <c:showVal val="1"/>
            <c:showCatName val="0"/>
            <c:showSerName val="0"/>
            <c:showPercent val="0"/>
            <c:showBubbleSize val="0"/>
            <c:showLeaderLines val="0"/>
          </c:dLbls>
          <c:cat>
            <c:strRef>
              <c:f>Propreté!$A$6:$A$32</c:f>
              <c:strCache>
                <c:ptCount val="27"/>
                <c:pt idx="0">
                  <c:v>Italie</c:v>
                </c:pt>
                <c:pt idx="1">
                  <c:v>Pologne</c:v>
                </c:pt>
                <c:pt idx="2">
                  <c:v>Bulgarie</c:v>
                </c:pt>
                <c:pt idx="3">
                  <c:v>Hongrie</c:v>
                </c:pt>
                <c:pt idx="4">
                  <c:v>Roumanie</c:v>
                </c:pt>
                <c:pt idx="5">
                  <c:v>Rép. Tchèque</c:v>
                </c:pt>
                <c:pt idx="6">
                  <c:v>Slovaquie</c:v>
                </c:pt>
                <c:pt idx="7">
                  <c:v>Allemagne</c:v>
                </c:pt>
                <c:pt idx="8">
                  <c:v>F R A N C E</c:v>
                </c:pt>
                <c:pt idx="9">
                  <c:v>Danemark</c:v>
                </c:pt>
                <c:pt idx="10">
                  <c:v>Estonie</c:v>
                </c:pt>
                <c:pt idx="11">
                  <c:v>Croatie</c:v>
                </c:pt>
                <c:pt idx="12">
                  <c:v>U E 26</c:v>
                </c:pt>
                <c:pt idx="13">
                  <c:v>Belgique</c:v>
                </c:pt>
                <c:pt idx="14">
                  <c:v>Grèce</c:v>
                </c:pt>
                <c:pt idx="15">
                  <c:v>Slovénie</c:v>
                </c:pt>
                <c:pt idx="16">
                  <c:v>Lettonie</c:v>
                </c:pt>
                <c:pt idx="17">
                  <c:v>Pays-Bas</c:v>
                </c:pt>
                <c:pt idx="18">
                  <c:v>Finlande</c:v>
                </c:pt>
                <c:pt idx="19">
                  <c:v>Suède</c:v>
                </c:pt>
                <c:pt idx="20">
                  <c:v>Espagne</c:v>
                </c:pt>
                <c:pt idx="21">
                  <c:v>Lituanie</c:v>
                </c:pt>
                <c:pt idx="22">
                  <c:v>Luxembourg</c:v>
                </c:pt>
                <c:pt idx="23">
                  <c:v>Autriche</c:v>
                </c:pt>
                <c:pt idx="24">
                  <c:v>Royaume-Uni</c:v>
                </c:pt>
                <c:pt idx="25">
                  <c:v>Irlande</c:v>
                </c:pt>
                <c:pt idx="26">
                  <c:v>Portugal</c:v>
                </c:pt>
              </c:strCache>
            </c:strRef>
          </c:cat>
          <c:val>
            <c:numRef>
              <c:f>Propreté!$C$6:$C$32</c:f>
              <c:numCache>
                <c:formatCode>General</c:formatCode>
                <c:ptCount val="27"/>
                <c:pt idx="0">
                  <c:v>31.0</c:v>
                </c:pt>
                <c:pt idx="1">
                  <c:v>35.0</c:v>
                </c:pt>
                <c:pt idx="2">
                  <c:v>26.0</c:v>
                </c:pt>
                <c:pt idx="3">
                  <c:v>33.0</c:v>
                </c:pt>
                <c:pt idx="4">
                  <c:v>23.0</c:v>
                </c:pt>
                <c:pt idx="5">
                  <c:v>44.0</c:v>
                </c:pt>
                <c:pt idx="6">
                  <c:v>28.0</c:v>
                </c:pt>
                <c:pt idx="7">
                  <c:v>43.0</c:v>
                </c:pt>
                <c:pt idx="8">
                  <c:v>63.0</c:v>
                </c:pt>
                <c:pt idx="9">
                  <c:v>50.0</c:v>
                </c:pt>
                <c:pt idx="10">
                  <c:v>27.0</c:v>
                </c:pt>
                <c:pt idx="11">
                  <c:v>37.0</c:v>
                </c:pt>
                <c:pt idx="12">
                  <c:v>45.0</c:v>
                </c:pt>
                <c:pt idx="13">
                  <c:v>58.0</c:v>
                </c:pt>
                <c:pt idx="14">
                  <c:v>31.0</c:v>
                </c:pt>
                <c:pt idx="15">
                  <c:v>32.0</c:v>
                </c:pt>
                <c:pt idx="16">
                  <c:v>55.0</c:v>
                </c:pt>
                <c:pt idx="17">
                  <c:v>62.0</c:v>
                </c:pt>
                <c:pt idx="18">
                  <c:v>62.0</c:v>
                </c:pt>
                <c:pt idx="19">
                  <c:v>53.0</c:v>
                </c:pt>
                <c:pt idx="20">
                  <c:v>52.0</c:v>
                </c:pt>
                <c:pt idx="21">
                  <c:v>34.0</c:v>
                </c:pt>
                <c:pt idx="22">
                  <c:v>55.0</c:v>
                </c:pt>
                <c:pt idx="23">
                  <c:v>54.0</c:v>
                </c:pt>
                <c:pt idx="24">
                  <c:v>53.0</c:v>
                </c:pt>
                <c:pt idx="25">
                  <c:v>46.0</c:v>
                </c:pt>
                <c:pt idx="26">
                  <c:v>31.0</c:v>
                </c:pt>
              </c:numCache>
            </c:numRef>
          </c:val>
        </c:ser>
        <c:ser>
          <c:idx val="1"/>
          <c:order val="2"/>
          <c:tx>
            <c:strRef>
              <c:f>Propreté!$D$5</c:f>
              <c:strCache>
                <c:ptCount val="1"/>
                <c:pt idx="0">
                  <c:v>Insatisfait</c:v>
                </c:pt>
              </c:strCache>
            </c:strRef>
          </c:tx>
          <c:invertIfNegative val="0"/>
          <c:dLbls>
            <c:showLegendKey val="0"/>
            <c:showVal val="1"/>
            <c:showCatName val="0"/>
            <c:showSerName val="0"/>
            <c:showPercent val="0"/>
            <c:showBubbleSize val="0"/>
            <c:showLeaderLines val="0"/>
          </c:dLbls>
          <c:cat>
            <c:strRef>
              <c:f>Propreté!$A$6:$A$32</c:f>
              <c:strCache>
                <c:ptCount val="27"/>
                <c:pt idx="0">
                  <c:v>Italie</c:v>
                </c:pt>
                <c:pt idx="1">
                  <c:v>Pologne</c:v>
                </c:pt>
                <c:pt idx="2">
                  <c:v>Bulgarie</c:v>
                </c:pt>
                <c:pt idx="3">
                  <c:v>Hongrie</c:v>
                </c:pt>
                <c:pt idx="4">
                  <c:v>Roumanie</c:v>
                </c:pt>
                <c:pt idx="5">
                  <c:v>Rép. Tchèque</c:v>
                </c:pt>
                <c:pt idx="6">
                  <c:v>Slovaquie</c:v>
                </c:pt>
                <c:pt idx="7">
                  <c:v>Allemagne</c:v>
                </c:pt>
                <c:pt idx="8">
                  <c:v>F R A N C E</c:v>
                </c:pt>
                <c:pt idx="9">
                  <c:v>Danemark</c:v>
                </c:pt>
                <c:pt idx="10">
                  <c:v>Estonie</c:v>
                </c:pt>
                <c:pt idx="11">
                  <c:v>Croatie</c:v>
                </c:pt>
                <c:pt idx="12">
                  <c:v>U E 26</c:v>
                </c:pt>
                <c:pt idx="13">
                  <c:v>Belgique</c:v>
                </c:pt>
                <c:pt idx="14">
                  <c:v>Grèce</c:v>
                </c:pt>
                <c:pt idx="15">
                  <c:v>Slovénie</c:v>
                </c:pt>
                <c:pt idx="16">
                  <c:v>Lettonie</c:v>
                </c:pt>
                <c:pt idx="17">
                  <c:v>Pays-Bas</c:v>
                </c:pt>
                <c:pt idx="18">
                  <c:v>Finlande</c:v>
                </c:pt>
                <c:pt idx="19">
                  <c:v>Suède</c:v>
                </c:pt>
                <c:pt idx="20">
                  <c:v>Espagne</c:v>
                </c:pt>
                <c:pt idx="21">
                  <c:v>Lituanie</c:v>
                </c:pt>
                <c:pt idx="22">
                  <c:v>Luxembourg</c:v>
                </c:pt>
                <c:pt idx="23">
                  <c:v>Autriche</c:v>
                </c:pt>
                <c:pt idx="24">
                  <c:v>Royaume-Uni</c:v>
                </c:pt>
                <c:pt idx="25">
                  <c:v>Irlande</c:v>
                </c:pt>
                <c:pt idx="26">
                  <c:v>Portugal</c:v>
                </c:pt>
              </c:strCache>
            </c:strRef>
          </c:cat>
          <c:val>
            <c:numRef>
              <c:f>Propreté!$D$6:$D$32</c:f>
              <c:numCache>
                <c:formatCode>General</c:formatCode>
                <c:ptCount val="27"/>
                <c:pt idx="0">
                  <c:v>36.0</c:v>
                </c:pt>
                <c:pt idx="1">
                  <c:v>28.0</c:v>
                </c:pt>
                <c:pt idx="2">
                  <c:v>26.0</c:v>
                </c:pt>
                <c:pt idx="3">
                  <c:v>26.0</c:v>
                </c:pt>
                <c:pt idx="4">
                  <c:v>28.0</c:v>
                </c:pt>
                <c:pt idx="5">
                  <c:v>28.0</c:v>
                </c:pt>
                <c:pt idx="6">
                  <c:v>26.0</c:v>
                </c:pt>
                <c:pt idx="7">
                  <c:v>29.0</c:v>
                </c:pt>
                <c:pt idx="8">
                  <c:v>18.0</c:v>
                </c:pt>
                <c:pt idx="9">
                  <c:v>19.0</c:v>
                </c:pt>
                <c:pt idx="10">
                  <c:v>6.0</c:v>
                </c:pt>
                <c:pt idx="11">
                  <c:v>18.0</c:v>
                </c:pt>
                <c:pt idx="12">
                  <c:v>21.0</c:v>
                </c:pt>
                <c:pt idx="13">
                  <c:v>16.0</c:v>
                </c:pt>
                <c:pt idx="14">
                  <c:v>19.0</c:v>
                </c:pt>
                <c:pt idx="15">
                  <c:v>16.0</c:v>
                </c:pt>
                <c:pt idx="16">
                  <c:v>13.0</c:v>
                </c:pt>
                <c:pt idx="17">
                  <c:v>9.0</c:v>
                </c:pt>
                <c:pt idx="18">
                  <c:v>12.0</c:v>
                </c:pt>
                <c:pt idx="19">
                  <c:v>9.0</c:v>
                </c:pt>
                <c:pt idx="20">
                  <c:v>9.0</c:v>
                </c:pt>
                <c:pt idx="21">
                  <c:v>3.0</c:v>
                </c:pt>
                <c:pt idx="22">
                  <c:v>9.0</c:v>
                </c:pt>
                <c:pt idx="23">
                  <c:v>8.0</c:v>
                </c:pt>
                <c:pt idx="24">
                  <c:v>9.0</c:v>
                </c:pt>
                <c:pt idx="25">
                  <c:v>9.0</c:v>
                </c:pt>
                <c:pt idx="26">
                  <c:v>10.0</c:v>
                </c:pt>
              </c:numCache>
            </c:numRef>
          </c:val>
        </c:ser>
        <c:ser>
          <c:idx val="2"/>
          <c:order val="3"/>
          <c:tx>
            <c:strRef>
              <c:f>Propreté!$E$5</c:f>
              <c:strCache>
                <c:ptCount val="1"/>
                <c:pt idx="0">
                  <c:v>Très mécontent</c:v>
                </c:pt>
              </c:strCache>
            </c:strRef>
          </c:tx>
          <c:invertIfNegative val="0"/>
          <c:dLbls>
            <c:showLegendKey val="0"/>
            <c:showVal val="1"/>
            <c:showCatName val="0"/>
            <c:showSerName val="0"/>
            <c:showPercent val="0"/>
            <c:showBubbleSize val="0"/>
            <c:showLeaderLines val="0"/>
          </c:dLbls>
          <c:cat>
            <c:strRef>
              <c:f>Propreté!$A$6:$A$32</c:f>
              <c:strCache>
                <c:ptCount val="27"/>
                <c:pt idx="0">
                  <c:v>Italie</c:v>
                </c:pt>
                <c:pt idx="1">
                  <c:v>Pologne</c:v>
                </c:pt>
                <c:pt idx="2">
                  <c:v>Bulgarie</c:v>
                </c:pt>
                <c:pt idx="3">
                  <c:v>Hongrie</c:v>
                </c:pt>
                <c:pt idx="4">
                  <c:v>Roumanie</c:v>
                </c:pt>
                <c:pt idx="5">
                  <c:v>Rép. Tchèque</c:v>
                </c:pt>
                <c:pt idx="6">
                  <c:v>Slovaquie</c:v>
                </c:pt>
                <c:pt idx="7">
                  <c:v>Allemagne</c:v>
                </c:pt>
                <c:pt idx="8">
                  <c:v>F R A N C E</c:v>
                </c:pt>
                <c:pt idx="9">
                  <c:v>Danemark</c:v>
                </c:pt>
                <c:pt idx="10">
                  <c:v>Estonie</c:v>
                </c:pt>
                <c:pt idx="11">
                  <c:v>Croatie</c:v>
                </c:pt>
                <c:pt idx="12">
                  <c:v>U E 26</c:v>
                </c:pt>
                <c:pt idx="13">
                  <c:v>Belgique</c:v>
                </c:pt>
                <c:pt idx="14">
                  <c:v>Grèce</c:v>
                </c:pt>
                <c:pt idx="15">
                  <c:v>Slovénie</c:v>
                </c:pt>
                <c:pt idx="16">
                  <c:v>Lettonie</c:v>
                </c:pt>
                <c:pt idx="17">
                  <c:v>Pays-Bas</c:v>
                </c:pt>
                <c:pt idx="18">
                  <c:v>Finlande</c:v>
                </c:pt>
                <c:pt idx="19">
                  <c:v>Suède</c:v>
                </c:pt>
                <c:pt idx="20">
                  <c:v>Espagne</c:v>
                </c:pt>
                <c:pt idx="21">
                  <c:v>Lituanie</c:v>
                </c:pt>
                <c:pt idx="22">
                  <c:v>Luxembourg</c:v>
                </c:pt>
                <c:pt idx="23">
                  <c:v>Autriche</c:v>
                </c:pt>
                <c:pt idx="24">
                  <c:v>Royaume-Uni</c:v>
                </c:pt>
                <c:pt idx="25">
                  <c:v>Irlande</c:v>
                </c:pt>
                <c:pt idx="26">
                  <c:v>Portugal</c:v>
                </c:pt>
              </c:strCache>
            </c:strRef>
          </c:cat>
          <c:val>
            <c:numRef>
              <c:f>Propreté!$E$6:$E$32</c:f>
              <c:numCache>
                <c:formatCode>General</c:formatCode>
                <c:ptCount val="27"/>
                <c:pt idx="0">
                  <c:v>18.0</c:v>
                </c:pt>
                <c:pt idx="1">
                  <c:v>11.0</c:v>
                </c:pt>
                <c:pt idx="2">
                  <c:v>18.0</c:v>
                </c:pt>
                <c:pt idx="3">
                  <c:v>15.0</c:v>
                </c:pt>
                <c:pt idx="4">
                  <c:v>22.0</c:v>
                </c:pt>
                <c:pt idx="5">
                  <c:v>8.0</c:v>
                </c:pt>
                <c:pt idx="6">
                  <c:v>16.0</c:v>
                </c:pt>
                <c:pt idx="7">
                  <c:v>9.0</c:v>
                </c:pt>
                <c:pt idx="8">
                  <c:v>5.0</c:v>
                </c:pt>
                <c:pt idx="9">
                  <c:v>5.0</c:v>
                </c:pt>
                <c:pt idx="10">
                  <c:v>2.0</c:v>
                </c:pt>
                <c:pt idx="11">
                  <c:v>8.0</c:v>
                </c:pt>
                <c:pt idx="12">
                  <c:v>8.0</c:v>
                </c:pt>
                <c:pt idx="13">
                  <c:v>4.0</c:v>
                </c:pt>
                <c:pt idx="14">
                  <c:v>8.0</c:v>
                </c:pt>
                <c:pt idx="15">
                  <c:v>7.0</c:v>
                </c:pt>
                <c:pt idx="16">
                  <c:v>2.0</c:v>
                </c:pt>
                <c:pt idx="17">
                  <c:v>1.0</c:v>
                </c:pt>
                <c:pt idx="18">
                  <c:v>2.0</c:v>
                </c:pt>
                <c:pt idx="19">
                  <c:v>2.0</c:v>
                </c:pt>
                <c:pt idx="20">
                  <c:v>4.0</c:v>
                </c:pt>
                <c:pt idx="21">
                  <c:v>1.0</c:v>
                </c:pt>
                <c:pt idx="22">
                  <c:v>2.0</c:v>
                </c:pt>
                <c:pt idx="23">
                  <c:v>1.0</c:v>
                </c:pt>
                <c:pt idx="24">
                  <c:v>2.0</c:v>
                </c:pt>
                <c:pt idx="25">
                  <c:v>3.0</c:v>
                </c:pt>
                <c:pt idx="26">
                  <c:v>8.0</c:v>
                </c:pt>
              </c:numCache>
            </c:numRef>
          </c:val>
        </c:ser>
        <c:dLbls>
          <c:showLegendKey val="0"/>
          <c:showVal val="0"/>
          <c:showCatName val="0"/>
          <c:showSerName val="0"/>
          <c:showPercent val="0"/>
          <c:showBubbleSize val="0"/>
        </c:dLbls>
        <c:gapWidth val="150"/>
        <c:overlap val="100"/>
        <c:axId val="-2059335144"/>
        <c:axId val="-2059331976"/>
      </c:barChart>
      <c:catAx>
        <c:axId val="-2059335144"/>
        <c:scaling>
          <c:orientation val="minMax"/>
        </c:scaling>
        <c:delete val="0"/>
        <c:axPos val="b"/>
        <c:majorTickMark val="out"/>
        <c:minorTickMark val="none"/>
        <c:tickLblPos val="nextTo"/>
        <c:txPr>
          <a:bodyPr rot="-5400000" vert="horz"/>
          <a:lstStyle/>
          <a:p>
            <a:pPr>
              <a:defRPr/>
            </a:pPr>
            <a:endParaRPr lang="fr-FR"/>
          </a:p>
        </c:txPr>
        <c:crossAx val="-2059331976"/>
        <c:crosses val="autoZero"/>
        <c:auto val="1"/>
        <c:lblAlgn val="ctr"/>
        <c:lblOffset val="100"/>
        <c:noMultiLvlLbl val="0"/>
      </c:catAx>
      <c:valAx>
        <c:axId val="-2059331976"/>
        <c:scaling>
          <c:orientation val="minMax"/>
          <c:max val="100.0"/>
        </c:scaling>
        <c:delete val="0"/>
        <c:axPos val="l"/>
        <c:majorGridlines/>
        <c:numFmt formatCode="General" sourceLinked="1"/>
        <c:majorTickMark val="out"/>
        <c:minorTickMark val="none"/>
        <c:tickLblPos val="nextTo"/>
        <c:crossAx val="-2059335144"/>
        <c:crosses val="autoZero"/>
        <c:crossBetween val="between"/>
      </c:valAx>
    </c:plotArea>
    <c:legend>
      <c:legendPos val="b"/>
      <c:layout/>
      <c:overlay val="0"/>
    </c:legend>
    <c:plotVisOnly val="1"/>
    <c:dispBlanksAs val="gap"/>
    <c:showDLblsOverMax val="0"/>
  </c:chart>
  <c:spPr>
    <a:ln>
      <a:noFill/>
    </a:ln>
  </c:spPr>
  <c:txPr>
    <a:bodyPr/>
    <a:lstStyle/>
    <a:p>
      <a:pPr>
        <a:defRPr sz="1000"/>
      </a:pPr>
      <a:endParaRPr lang="fr-F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stacked"/>
        <c:varyColors val="0"/>
        <c:ser>
          <c:idx val="5"/>
          <c:order val="0"/>
          <c:tx>
            <c:strRef>
              <c:f>'Gares Accessibilité'!$B$5</c:f>
              <c:strCache>
                <c:ptCount val="1"/>
                <c:pt idx="0">
                  <c:v>Très satisfait</c:v>
                </c:pt>
              </c:strCache>
            </c:strRef>
          </c:tx>
          <c:invertIfNegative val="0"/>
          <c:dLbls>
            <c:showLegendKey val="0"/>
            <c:showVal val="1"/>
            <c:showCatName val="0"/>
            <c:showSerName val="0"/>
            <c:showPercent val="0"/>
            <c:showBubbleSize val="0"/>
            <c:showLeaderLines val="0"/>
          </c:dLbls>
          <c:cat>
            <c:strRef>
              <c:f>'Gares Accessibilité'!$A$6:$A$32</c:f>
              <c:strCache>
                <c:ptCount val="27"/>
                <c:pt idx="0">
                  <c:v>Pologne</c:v>
                </c:pt>
                <c:pt idx="1">
                  <c:v>Bulgarie</c:v>
                </c:pt>
                <c:pt idx="2">
                  <c:v>Italie</c:v>
                </c:pt>
                <c:pt idx="3">
                  <c:v>Lettonie</c:v>
                </c:pt>
                <c:pt idx="4">
                  <c:v>Hongrie</c:v>
                </c:pt>
                <c:pt idx="5">
                  <c:v>Allemagne</c:v>
                </c:pt>
                <c:pt idx="6">
                  <c:v>Estonie</c:v>
                </c:pt>
                <c:pt idx="7">
                  <c:v>Grèce</c:v>
                </c:pt>
                <c:pt idx="8">
                  <c:v>Roumanie</c:v>
                </c:pt>
                <c:pt idx="9">
                  <c:v>Suède</c:v>
                </c:pt>
                <c:pt idx="10">
                  <c:v>Croatie</c:v>
                </c:pt>
                <c:pt idx="11">
                  <c:v>Belgique</c:v>
                </c:pt>
                <c:pt idx="12">
                  <c:v>F R A N C E</c:v>
                </c:pt>
                <c:pt idx="13">
                  <c:v>Rép. Tchèque</c:v>
                </c:pt>
                <c:pt idx="14">
                  <c:v>U E 26</c:v>
                </c:pt>
                <c:pt idx="15">
                  <c:v>Slovaquie</c:v>
                </c:pt>
                <c:pt idx="16">
                  <c:v>Finlande</c:v>
                </c:pt>
                <c:pt idx="17">
                  <c:v>Pays-Bas</c:v>
                </c:pt>
                <c:pt idx="18">
                  <c:v>Slovénie</c:v>
                </c:pt>
                <c:pt idx="19">
                  <c:v>Lituanie</c:v>
                </c:pt>
                <c:pt idx="20">
                  <c:v>Danemark</c:v>
                </c:pt>
                <c:pt idx="21">
                  <c:v>Espagne</c:v>
                </c:pt>
                <c:pt idx="22">
                  <c:v>Luxembourg</c:v>
                </c:pt>
                <c:pt idx="23">
                  <c:v>Irlande</c:v>
                </c:pt>
                <c:pt idx="24">
                  <c:v>Autriche</c:v>
                </c:pt>
                <c:pt idx="25">
                  <c:v>Portugal</c:v>
                </c:pt>
                <c:pt idx="26">
                  <c:v>Royaume-Uni</c:v>
                </c:pt>
              </c:strCache>
            </c:strRef>
          </c:cat>
          <c:val>
            <c:numRef>
              <c:f>'Gares Accessibilité'!$B$6:$B$32</c:f>
              <c:numCache>
                <c:formatCode>General</c:formatCode>
                <c:ptCount val="27"/>
                <c:pt idx="0">
                  <c:v>3.0</c:v>
                </c:pt>
                <c:pt idx="1">
                  <c:v>5.0</c:v>
                </c:pt>
                <c:pt idx="2">
                  <c:v>6.0</c:v>
                </c:pt>
                <c:pt idx="3">
                  <c:v>6.0</c:v>
                </c:pt>
                <c:pt idx="4">
                  <c:v>7.0</c:v>
                </c:pt>
                <c:pt idx="5">
                  <c:v>8.0</c:v>
                </c:pt>
                <c:pt idx="6">
                  <c:v>8.0</c:v>
                </c:pt>
                <c:pt idx="7">
                  <c:v>8.0</c:v>
                </c:pt>
                <c:pt idx="8">
                  <c:v>8.0</c:v>
                </c:pt>
                <c:pt idx="9">
                  <c:v>8.0</c:v>
                </c:pt>
                <c:pt idx="10">
                  <c:v>8.0</c:v>
                </c:pt>
                <c:pt idx="11">
                  <c:v>9.0</c:v>
                </c:pt>
                <c:pt idx="12">
                  <c:v>9.0</c:v>
                </c:pt>
                <c:pt idx="13">
                  <c:v>10.0</c:v>
                </c:pt>
                <c:pt idx="14">
                  <c:v>11.0</c:v>
                </c:pt>
                <c:pt idx="15">
                  <c:v>11.0</c:v>
                </c:pt>
                <c:pt idx="16">
                  <c:v>12.0</c:v>
                </c:pt>
                <c:pt idx="17">
                  <c:v>13.0</c:v>
                </c:pt>
                <c:pt idx="18">
                  <c:v>13.0</c:v>
                </c:pt>
                <c:pt idx="19">
                  <c:v>14.0</c:v>
                </c:pt>
                <c:pt idx="20">
                  <c:v>15.0</c:v>
                </c:pt>
                <c:pt idx="21">
                  <c:v>15.0</c:v>
                </c:pt>
                <c:pt idx="22">
                  <c:v>16.0</c:v>
                </c:pt>
                <c:pt idx="23">
                  <c:v>18.0</c:v>
                </c:pt>
                <c:pt idx="24">
                  <c:v>20.0</c:v>
                </c:pt>
                <c:pt idx="25">
                  <c:v>23.0</c:v>
                </c:pt>
                <c:pt idx="26">
                  <c:v>25.0</c:v>
                </c:pt>
              </c:numCache>
            </c:numRef>
          </c:val>
        </c:ser>
        <c:ser>
          <c:idx val="0"/>
          <c:order val="1"/>
          <c:tx>
            <c:strRef>
              <c:f>'Gares Accessibilité'!$C$5</c:f>
              <c:strCache>
                <c:ptCount val="1"/>
                <c:pt idx="0">
                  <c:v>Satisfait</c:v>
                </c:pt>
              </c:strCache>
            </c:strRef>
          </c:tx>
          <c:invertIfNegative val="0"/>
          <c:dLbls>
            <c:showLegendKey val="0"/>
            <c:showVal val="1"/>
            <c:showCatName val="0"/>
            <c:showSerName val="0"/>
            <c:showPercent val="0"/>
            <c:showBubbleSize val="0"/>
            <c:showLeaderLines val="0"/>
          </c:dLbls>
          <c:cat>
            <c:strRef>
              <c:f>'Gares Accessibilité'!$A$6:$A$32</c:f>
              <c:strCache>
                <c:ptCount val="27"/>
                <c:pt idx="0">
                  <c:v>Pologne</c:v>
                </c:pt>
                <c:pt idx="1">
                  <c:v>Bulgarie</c:v>
                </c:pt>
                <c:pt idx="2">
                  <c:v>Italie</c:v>
                </c:pt>
                <c:pt idx="3">
                  <c:v>Lettonie</c:v>
                </c:pt>
                <c:pt idx="4">
                  <c:v>Hongrie</c:v>
                </c:pt>
                <c:pt idx="5">
                  <c:v>Allemagne</c:v>
                </c:pt>
                <c:pt idx="6">
                  <c:v>Estonie</c:v>
                </c:pt>
                <c:pt idx="7">
                  <c:v>Grèce</c:v>
                </c:pt>
                <c:pt idx="8">
                  <c:v>Roumanie</c:v>
                </c:pt>
                <c:pt idx="9">
                  <c:v>Suède</c:v>
                </c:pt>
                <c:pt idx="10">
                  <c:v>Croatie</c:v>
                </c:pt>
                <c:pt idx="11">
                  <c:v>Belgique</c:v>
                </c:pt>
                <c:pt idx="12">
                  <c:v>F R A N C E</c:v>
                </c:pt>
                <c:pt idx="13">
                  <c:v>Rép. Tchèque</c:v>
                </c:pt>
                <c:pt idx="14">
                  <c:v>U E 26</c:v>
                </c:pt>
                <c:pt idx="15">
                  <c:v>Slovaquie</c:v>
                </c:pt>
                <c:pt idx="16">
                  <c:v>Finlande</c:v>
                </c:pt>
                <c:pt idx="17">
                  <c:v>Pays-Bas</c:v>
                </c:pt>
                <c:pt idx="18">
                  <c:v>Slovénie</c:v>
                </c:pt>
                <c:pt idx="19">
                  <c:v>Lituanie</c:v>
                </c:pt>
                <c:pt idx="20">
                  <c:v>Danemark</c:v>
                </c:pt>
                <c:pt idx="21">
                  <c:v>Espagne</c:v>
                </c:pt>
                <c:pt idx="22">
                  <c:v>Luxembourg</c:v>
                </c:pt>
                <c:pt idx="23">
                  <c:v>Irlande</c:v>
                </c:pt>
                <c:pt idx="24">
                  <c:v>Autriche</c:v>
                </c:pt>
                <c:pt idx="25">
                  <c:v>Portugal</c:v>
                </c:pt>
                <c:pt idx="26">
                  <c:v>Royaume-Uni</c:v>
                </c:pt>
              </c:strCache>
            </c:strRef>
          </c:cat>
          <c:val>
            <c:numRef>
              <c:f>'Gares Accessibilité'!$C$6:$C$32</c:f>
              <c:numCache>
                <c:formatCode>General</c:formatCode>
                <c:ptCount val="27"/>
                <c:pt idx="0">
                  <c:v>32.0</c:v>
                </c:pt>
                <c:pt idx="1">
                  <c:v>21.0</c:v>
                </c:pt>
                <c:pt idx="2">
                  <c:v>25.0</c:v>
                </c:pt>
                <c:pt idx="3">
                  <c:v>29.0</c:v>
                </c:pt>
                <c:pt idx="4">
                  <c:v>29.0</c:v>
                </c:pt>
                <c:pt idx="5">
                  <c:v>36.0</c:v>
                </c:pt>
                <c:pt idx="6">
                  <c:v>16.0</c:v>
                </c:pt>
                <c:pt idx="7">
                  <c:v>25.0</c:v>
                </c:pt>
                <c:pt idx="8">
                  <c:v>26.0</c:v>
                </c:pt>
                <c:pt idx="9">
                  <c:v>31.0</c:v>
                </c:pt>
                <c:pt idx="10">
                  <c:v>22.0</c:v>
                </c:pt>
                <c:pt idx="11">
                  <c:v>46.0</c:v>
                </c:pt>
                <c:pt idx="12">
                  <c:v>48.0</c:v>
                </c:pt>
                <c:pt idx="13">
                  <c:v>34.0</c:v>
                </c:pt>
                <c:pt idx="14">
                  <c:v>35.0</c:v>
                </c:pt>
                <c:pt idx="15">
                  <c:v>26.0</c:v>
                </c:pt>
                <c:pt idx="16">
                  <c:v>51.0</c:v>
                </c:pt>
                <c:pt idx="17">
                  <c:v>42.0</c:v>
                </c:pt>
                <c:pt idx="18">
                  <c:v>20.0</c:v>
                </c:pt>
                <c:pt idx="19">
                  <c:v>21.0</c:v>
                </c:pt>
                <c:pt idx="20">
                  <c:v>35.0</c:v>
                </c:pt>
                <c:pt idx="21">
                  <c:v>37.0</c:v>
                </c:pt>
                <c:pt idx="22">
                  <c:v>44.0</c:v>
                </c:pt>
                <c:pt idx="23">
                  <c:v>45.0</c:v>
                </c:pt>
                <c:pt idx="24">
                  <c:v>35.0</c:v>
                </c:pt>
                <c:pt idx="25">
                  <c:v>23.0</c:v>
                </c:pt>
                <c:pt idx="26">
                  <c:v>40.0</c:v>
                </c:pt>
              </c:numCache>
            </c:numRef>
          </c:val>
        </c:ser>
        <c:ser>
          <c:idx val="1"/>
          <c:order val="2"/>
          <c:tx>
            <c:strRef>
              <c:f>'Gares Accessibilité'!$D$5</c:f>
              <c:strCache>
                <c:ptCount val="1"/>
                <c:pt idx="0">
                  <c:v>Insatisfait</c:v>
                </c:pt>
              </c:strCache>
            </c:strRef>
          </c:tx>
          <c:invertIfNegative val="0"/>
          <c:dLbls>
            <c:showLegendKey val="0"/>
            <c:showVal val="1"/>
            <c:showCatName val="0"/>
            <c:showSerName val="0"/>
            <c:showPercent val="0"/>
            <c:showBubbleSize val="0"/>
            <c:showLeaderLines val="0"/>
          </c:dLbls>
          <c:cat>
            <c:strRef>
              <c:f>'Gares Accessibilité'!$A$6:$A$32</c:f>
              <c:strCache>
                <c:ptCount val="27"/>
                <c:pt idx="0">
                  <c:v>Pologne</c:v>
                </c:pt>
                <c:pt idx="1">
                  <c:v>Bulgarie</c:v>
                </c:pt>
                <c:pt idx="2">
                  <c:v>Italie</c:v>
                </c:pt>
                <c:pt idx="3">
                  <c:v>Lettonie</c:v>
                </c:pt>
                <c:pt idx="4">
                  <c:v>Hongrie</c:v>
                </c:pt>
                <c:pt idx="5">
                  <c:v>Allemagne</c:v>
                </c:pt>
                <c:pt idx="6">
                  <c:v>Estonie</c:v>
                </c:pt>
                <c:pt idx="7">
                  <c:v>Grèce</c:v>
                </c:pt>
                <c:pt idx="8">
                  <c:v>Roumanie</c:v>
                </c:pt>
                <c:pt idx="9">
                  <c:v>Suède</c:v>
                </c:pt>
                <c:pt idx="10">
                  <c:v>Croatie</c:v>
                </c:pt>
                <c:pt idx="11">
                  <c:v>Belgique</c:v>
                </c:pt>
                <c:pt idx="12">
                  <c:v>F R A N C E</c:v>
                </c:pt>
                <c:pt idx="13">
                  <c:v>Rép. Tchèque</c:v>
                </c:pt>
                <c:pt idx="14">
                  <c:v>U E 26</c:v>
                </c:pt>
                <c:pt idx="15">
                  <c:v>Slovaquie</c:v>
                </c:pt>
                <c:pt idx="16">
                  <c:v>Finlande</c:v>
                </c:pt>
                <c:pt idx="17">
                  <c:v>Pays-Bas</c:v>
                </c:pt>
                <c:pt idx="18">
                  <c:v>Slovénie</c:v>
                </c:pt>
                <c:pt idx="19">
                  <c:v>Lituanie</c:v>
                </c:pt>
                <c:pt idx="20">
                  <c:v>Danemark</c:v>
                </c:pt>
                <c:pt idx="21">
                  <c:v>Espagne</c:v>
                </c:pt>
                <c:pt idx="22">
                  <c:v>Luxembourg</c:v>
                </c:pt>
                <c:pt idx="23">
                  <c:v>Irlande</c:v>
                </c:pt>
                <c:pt idx="24">
                  <c:v>Autriche</c:v>
                </c:pt>
                <c:pt idx="25">
                  <c:v>Portugal</c:v>
                </c:pt>
                <c:pt idx="26">
                  <c:v>Royaume-Uni</c:v>
                </c:pt>
              </c:strCache>
            </c:strRef>
          </c:cat>
          <c:val>
            <c:numRef>
              <c:f>'Gares Accessibilité'!$D$6:$D$32</c:f>
              <c:numCache>
                <c:formatCode>General</c:formatCode>
                <c:ptCount val="27"/>
                <c:pt idx="0">
                  <c:v>26.0</c:v>
                </c:pt>
                <c:pt idx="1">
                  <c:v>19.0</c:v>
                </c:pt>
                <c:pt idx="2">
                  <c:v>24.0</c:v>
                </c:pt>
                <c:pt idx="3">
                  <c:v>29.0</c:v>
                </c:pt>
                <c:pt idx="4">
                  <c:v>17.0</c:v>
                </c:pt>
                <c:pt idx="5">
                  <c:v>30.0</c:v>
                </c:pt>
                <c:pt idx="6">
                  <c:v>6.0</c:v>
                </c:pt>
                <c:pt idx="7">
                  <c:v>21.0</c:v>
                </c:pt>
                <c:pt idx="8">
                  <c:v>23.0</c:v>
                </c:pt>
                <c:pt idx="9">
                  <c:v>10.0</c:v>
                </c:pt>
                <c:pt idx="10">
                  <c:v>20.0</c:v>
                </c:pt>
                <c:pt idx="11">
                  <c:v>22.0</c:v>
                </c:pt>
                <c:pt idx="12">
                  <c:v>28.0</c:v>
                </c:pt>
                <c:pt idx="13">
                  <c:v>22.0</c:v>
                </c:pt>
                <c:pt idx="14">
                  <c:v>21.0</c:v>
                </c:pt>
                <c:pt idx="15">
                  <c:v>16.0</c:v>
                </c:pt>
                <c:pt idx="16">
                  <c:v>16.0</c:v>
                </c:pt>
                <c:pt idx="17">
                  <c:v>16.0</c:v>
                </c:pt>
                <c:pt idx="18">
                  <c:v>14.0</c:v>
                </c:pt>
                <c:pt idx="19">
                  <c:v>8.0</c:v>
                </c:pt>
                <c:pt idx="20">
                  <c:v>13.0</c:v>
                </c:pt>
                <c:pt idx="21">
                  <c:v>15.0</c:v>
                </c:pt>
                <c:pt idx="22">
                  <c:v>17.0</c:v>
                </c:pt>
                <c:pt idx="23">
                  <c:v>14.0</c:v>
                </c:pt>
                <c:pt idx="24">
                  <c:v>12.0</c:v>
                </c:pt>
                <c:pt idx="25">
                  <c:v>17.0</c:v>
                </c:pt>
                <c:pt idx="26">
                  <c:v>14.0</c:v>
                </c:pt>
              </c:numCache>
            </c:numRef>
          </c:val>
        </c:ser>
        <c:ser>
          <c:idx val="2"/>
          <c:order val="3"/>
          <c:tx>
            <c:strRef>
              <c:f>'Gares Accessibilité'!$E$5</c:f>
              <c:strCache>
                <c:ptCount val="1"/>
                <c:pt idx="0">
                  <c:v>Très mécontent</c:v>
                </c:pt>
              </c:strCache>
            </c:strRef>
          </c:tx>
          <c:invertIfNegative val="0"/>
          <c:dLbls>
            <c:showLegendKey val="0"/>
            <c:showVal val="1"/>
            <c:showCatName val="0"/>
            <c:showSerName val="0"/>
            <c:showPercent val="0"/>
            <c:showBubbleSize val="0"/>
            <c:showLeaderLines val="0"/>
          </c:dLbls>
          <c:cat>
            <c:strRef>
              <c:f>'Gares Accessibilité'!$A$6:$A$32</c:f>
              <c:strCache>
                <c:ptCount val="27"/>
                <c:pt idx="0">
                  <c:v>Pologne</c:v>
                </c:pt>
                <c:pt idx="1">
                  <c:v>Bulgarie</c:v>
                </c:pt>
                <c:pt idx="2">
                  <c:v>Italie</c:v>
                </c:pt>
                <c:pt idx="3">
                  <c:v>Lettonie</c:v>
                </c:pt>
                <c:pt idx="4">
                  <c:v>Hongrie</c:v>
                </c:pt>
                <c:pt idx="5">
                  <c:v>Allemagne</c:v>
                </c:pt>
                <c:pt idx="6">
                  <c:v>Estonie</c:v>
                </c:pt>
                <c:pt idx="7">
                  <c:v>Grèce</c:v>
                </c:pt>
                <c:pt idx="8">
                  <c:v>Roumanie</c:v>
                </c:pt>
                <c:pt idx="9">
                  <c:v>Suède</c:v>
                </c:pt>
                <c:pt idx="10">
                  <c:v>Croatie</c:v>
                </c:pt>
                <c:pt idx="11">
                  <c:v>Belgique</c:v>
                </c:pt>
                <c:pt idx="12">
                  <c:v>F R A N C E</c:v>
                </c:pt>
                <c:pt idx="13">
                  <c:v>Rép. Tchèque</c:v>
                </c:pt>
                <c:pt idx="14">
                  <c:v>U E 26</c:v>
                </c:pt>
                <c:pt idx="15">
                  <c:v>Slovaquie</c:v>
                </c:pt>
                <c:pt idx="16">
                  <c:v>Finlande</c:v>
                </c:pt>
                <c:pt idx="17">
                  <c:v>Pays-Bas</c:v>
                </c:pt>
                <c:pt idx="18">
                  <c:v>Slovénie</c:v>
                </c:pt>
                <c:pt idx="19">
                  <c:v>Lituanie</c:v>
                </c:pt>
                <c:pt idx="20">
                  <c:v>Danemark</c:v>
                </c:pt>
                <c:pt idx="21">
                  <c:v>Espagne</c:v>
                </c:pt>
                <c:pt idx="22">
                  <c:v>Luxembourg</c:v>
                </c:pt>
                <c:pt idx="23">
                  <c:v>Irlande</c:v>
                </c:pt>
                <c:pt idx="24">
                  <c:v>Autriche</c:v>
                </c:pt>
                <c:pt idx="25">
                  <c:v>Portugal</c:v>
                </c:pt>
                <c:pt idx="26">
                  <c:v>Royaume-Uni</c:v>
                </c:pt>
              </c:strCache>
            </c:strRef>
          </c:cat>
          <c:val>
            <c:numRef>
              <c:f>'Gares Accessibilité'!$E$6:$E$32</c:f>
              <c:numCache>
                <c:formatCode>General</c:formatCode>
                <c:ptCount val="27"/>
                <c:pt idx="0">
                  <c:v>12.0</c:v>
                </c:pt>
                <c:pt idx="1">
                  <c:v>17.0</c:v>
                </c:pt>
                <c:pt idx="2">
                  <c:v>13.0</c:v>
                </c:pt>
                <c:pt idx="3">
                  <c:v>15.0</c:v>
                </c:pt>
                <c:pt idx="4">
                  <c:v>8.0</c:v>
                </c:pt>
                <c:pt idx="5">
                  <c:v>7.0</c:v>
                </c:pt>
                <c:pt idx="6">
                  <c:v>2.0</c:v>
                </c:pt>
                <c:pt idx="7">
                  <c:v>11.0</c:v>
                </c:pt>
                <c:pt idx="8">
                  <c:v>13.0</c:v>
                </c:pt>
                <c:pt idx="9">
                  <c:v>2.0</c:v>
                </c:pt>
                <c:pt idx="10">
                  <c:v>14.0</c:v>
                </c:pt>
                <c:pt idx="11">
                  <c:v>7.0</c:v>
                </c:pt>
                <c:pt idx="12">
                  <c:v>8.0</c:v>
                </c:pt>
                <c:pt idx="13">
                  <c:v>6.0</c:v>
                </c:pt>
                <c:pt idx="14">
                  <c:v>9.0</c:v>
                </c:pt>
                <c:pt idx="15">
                  <c:v>8.0</c:v>
                </c:pt>
                <c:pt idx="16">
                  <c:v>2.0</c:v>
                </c:pt>
                <c:pt idx="17">
                  <c:v>5.0</c:v>
                </c:pt>
                <c:pt idx="18">
                  <c:v>8.0</c:v>
                </c:pt>
                <c:pt idx="19">
                  <c:v>3.0</c:v>
                </c:pt>
                <c:pt idx="20">
                  <c:v>4.0</c:v>
                </c:pt>
                <c:pt idx="21">
                  <c:v>10.0</c:v>
                </c:pt>
                <c:pt idx="22">
                  <c:v>4.0</c:v>
                </c:pt>
                <c:pt idx="23">
                  <c:v>6.0</c:v>
                </c:pt>
                <c:pt idx="24">
                  <c:v>3.0</c:v>
                </c:pt>
                <c:pt idx="25">
                  <c:v>18.0</c:v>
                </c:pt>
                <c:pt idx="26">
                  <c:v>4.0</c:v>
                </c:pt>
              </c:numCache>
            </c:numRef>
          </c:val>
        </c:ser>
        <c:dLbls>
          <c:showLegendKey val="0"/>
          <c:showVal val="0"/>
          <c:showCatName val="0"/>
          <c:showSerName val="0"/>
          <c:showPercent val="0"/>
          <c:showBubbleSize val="0"/>
        </c:dLbls>
        <c:gapWidth val="150"/>
        <c:overlap val="100"/>
        <c:axId val="-2051548696"/>
        <c:axId val="-2051545528"/>
      </c:barChart>
      <c:catAx>
        <c:axId val="-2051548696"/>
        <c:scaling>
          <c:orientation val="minMax"/>
        </c:scaling>
        <c:delete val="0"/>
        <c:axPos val="b"/>
        <c:majorTickMark val="out"/>
        <c:minorTickMark val="none"/>
        <c:tickLblPos val="nextTo"/>
        <c:txPr>
          <a:bodyPr rot="-5400000" vert="horz"/>
          <a:lstStyle/>
          <a:p>
            <a:pPr>
              <a:defRPr/>
            </a:pPr>
            <a:endParaRPr lang="fr-FR"/>
          </a:p>
        </c:txPr>
        <c:crossAx val="-2051545528"/>
        <c:crosses val="autoZero"/>
        <c:auto val="1"/>
        <c:lblAlgn val="ctr"/>
        <c:lblOffset val="100"/>
        <c:noMultiLvlLbl val="0"/>
      </c:catAx>
      <c:valAx>
        <c:axId val="-2051545528"/>
        <c:scaling>
          <c:orientation val="minMax"/>
          <c:max val="100.0"/>
        </c:scaling>
        <c:delete val="0"/>
        <c:axPos val="l"/>
        <c:majorGridlines/>
        <c:numFmt formatCode="General" sourceLinked="1"/>
        <c:majorTickMark val="out"/>
        <c:minorTickMark val="none"/>
        <c:tickLblPos val="nextTo"/>
        <c:crossAx val="-2051548696"/>
        <c:crosses val="autoZero"/>
        <c:crossBetween val="between"/>
      </c:valAx>
    </c:plotArea>
    <c:legend>
      <c:legendPos val="b"/>
      <c:layout/>
      <c:overlay val="0"/>
    </c:legend>
    <c:plotVisOnly val="1"/>
    <c:dispBlanksAs val="gap"/>
    <c:showDLblsOverMax val="0"/>
  </c:chart>
  <c:spPr>
    <a:ln>
      <a:noFill/>
    </a:ln>
  </c:spPr>
  <c:txPr>
    <a:bodyPr/>
    <a:lstStyle/>
    <a:p>
      <a:pPr>
        <a:defRPr sz="1000"/>
      </a:pPr>
      <a:endParaRPr lang="fr-FR"/>
    </a:p>
  </c:txPr>
  <c:externalData r:id="rId1">
    <c:autoUpdate val="0"/>
  </c:externalData>
</c:chartSpac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15</Pages>
  <Words>3686</Words>
  <Characters>18141</Characters>
  <Application>Microsoft Macintosh Word</Application>
  <DocSecurity>0</DocSecurity>
  <Lines>442</Lines>
  <Paragraphs>209</Paragraphs>
  <ScaleCrop>false</ScaleCrop>
  <Company/>
  <LinksUpToDate>false</LinksUpToDate>
  <CharactersWithSpaces>21618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Damon</dc:creator>
  <cp:keywords/>
  <dc:description/>
  <cp:lastModifiedBy>Julien Damon</cp:lastModifiedBy>
  <cp:revision>29</cp:revision>
  <dcterms:created xsi:type="dcterms:W3CDTF">2014-08-16T13:29:00Z</dcterms:created>
  <dcterms:modified xsi:type="dcterms:W3CDTF">2014-08-16T15:56:00Z</dcterms:modified>
</cp:coreProperties>
</file>